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C7B" w:rsidRPr="00143C7B" w:rsidRDefault="00143C7B" w:rsidP="00143C7B">
      <w:pPr>
        <w:pStyle w:val="NormalWeb"/>
      </w:pPr>
      <w:r w:rsidRPr="00143C7B">
        <w:rPr>
          <w:noProof/>
        </w:rPr>
        <w:drawing>
          <wp:inline distT="0" distB="0" distL="0" distR="0" wp14:anchorId="34B93454" wp14:editId="401956C1">
            <wp:extent cx="6235700" cy="4157133"/>
            <wp:effectExtent l="0" t="0" r="0" b="0"/>
            <wp:docPr id="3" name="Picture 3" descr="C:\Users\USER\OneDrive\Desktop\61a921f9-c222-40c5-8329-1d416f854a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Desktop\61a921f9-c222-40c5-8329-1d416f854ad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372" cy="4166248"/>
                    </a:xfrm>
                    <a:prstGeom prst="rect">
                      <a:avLst/>
                    </a:prstGeom>
                    <a:noFill/>
                    <a:ln>
                      <a:noFill/>
                    </a:ln>
                  </pic:spPr>
                </pic:pic>
              </a:graphicData>
            </a:graphic>
          </wp:inline>
        </w:drawing>
      </w:r>
    </w:p>
    <w:p w:rsidR="003322F1" w:rsidRDefault="00A8510C" w:rsidP="00386671">
      <w:pPr>
        <w:jc w:val="both"/>
        <w:rPr>
          <w:rFonts w:ascii="Arial" w:hAnsi="Arial" w:cs="Arial"/>
          <w:sz w:val="22"/>
          <w:szCs w:val="22"/>
        </w:rPr>
      </w:pPr>
      <w:r w:rsidRPr="006B6F55">
        <w:rPr>
          <w:rFonts w:ascii="Arial" w:hAnsi="Arial" w:cs="Arial"/>
          <w:noProof/>
          <w:color w:val="365F91" w:themeColor="accent1" w:themeShade="BF"/>
          <w:sz w:val="22"/>
          <w:szCs w:val="22"/>
        </w:rPr>
        <mc:AlternateContent>
          <mc:Choice Requires="wps">
            <w:drawing>
              <wp:anchor distT="0" distB="0" distL="114300" distR="114300" simplePos="0" relativeHeight="251671552" behindDoc="0" locked="0" layoutInCell="1" allowOverlap="1" wp14:anchorId="4C643E42" wp14:editId="3CB53A13">
                <wp:simplePos x="0" y="0"/>
                <wp:positionH relativeFrom="margin">
                  <wp:align>left</wp:align>
                </wp:positionH>
                <wp:positionV relativeFrom="paragraph">
                  <wp:posOffset>179705</wp:posOffset>
                </wp:positionV>
                <wp:extent cx="6254750" cy="330200"/>
                <wp:effectExtent l="0" t="0" r="0" b="0"/>
                <wp:wrapNone/>
                <wp:docPr id="645717297" name="Text Box 645717297"/>
                <wp:cNvGraphicFramePr/>
                <a:graphic xmlns:a="http://schemas.openxmlformats.org/drawingml/2006/main">
                  <a:graphicData uri="http://schemas.microsoft.com/office/word/2010/wordprocessingShape">
                    <wps:wsp>
                      <wps:cNvSpPr txBox="1"/>
                      <wps:spPr>
                        <a:xfrm>
                          <a:off x="0" y="0"/>
                          <a:ext cx="6254750" cy="330200"/>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015C" w:rsidRPr="00A8510C" w:rsidRDefault="006E015C" w:rsidP="00BB2905">
                            <w:pPr>
                              <w:rPr>
                                <w:rFonts w:asciiTheme="majorHAnsi" w:hAnsiTheme="majorHAnsi" w:cstheme="majorHAnsi"/>
                                <w:b/>
                                <w:bCs/>
                                <w:color w:val="FFFFFF" w:themeColor="background1"/>
                              </w:rPr>
                            </w:pPr>
                            <w:r w:rsidRPr="00A8510C">
                              <w:rPr>
                                <w:rFonts w:asciiTheme="majorHAnsi" w:hAnsiTheme="majorHAnsi" w:cstheme="majorHAnsi"/>
                                <w:b/>
                                <w:bCs/>
                                <w:color w:val="FFFFFF" w:themeColor="background1"/>
                              </w:rPr>
                              <w:t>BACKGROUND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643E42" id="_x0000_t202" coordsize="21600,21600" o:spt="202" path="m,l,21600r21600,l21600,xe">
                <v:stroke joinstyle="miter"/>
                <v:path gradientshapeok="t" o:connecttype="rect"/>
              </v:shapetype>
              <v:shape id="Text Box 645717297" o:spid="_x0000_s1026" type="#_x0000_t202" style="position:absolute;left:0;text-align:left;margin-left:0;margin-top:14.15pt;width:492.5pt;height:2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" fillcolor="#0070c0" stroked="f" strokeweight=".5pt">
                <v:textbox>
                  <w:txbxContent>
                    <w:p w:rsidR="006E015C" w:rsidRPr="00A8510C" w:rsidRDefault="006E015C" w:rsidP="00BB2905">
                      <w:pPr>
                        <w:rPr>
                          <w:rFonts w:asciiTheme="majorHAnsi" w:hAnsiTheme="majorHAnsi" w:cstheme="majorHAnsi"/>
                          <w:b/>
                          <w:bCs/>
                          <w:color w:val="FFFFFF" w:themeColor="background1"/>
                        </w:rPr>
                      </w:pPr>
                      <w:r w:rsidRPr="00A8510C">
                        <w:rPr>
                          <w:rFonts w:asciiTheme="majorHAnsi" w:hAnsiTheme="majorHAnsi" w:cstheme="majorHAnsi"/>
                          <w:b/>
                          <w:bCs/>
                          <w:color w:val="FFFFFF" w:themeColor="background1"/>
                        </w:rPr>
                        <w:t>BACKGROUND</w:t>
                      </w:r>
                    </w:p>
                  </w:txbxContent>
                </v:textbox>
                <w10:wrap anchorx="margin"/>
              </v:shape>
            </w:pict>
          </mc:Fallback>
        </mc:AlternateContent>
      </w:r>
    </w:p>
    <w:p w:rsidR="00A8510C" w:rsidRDefault="00A8510C" w:rsidP="00386671">
      <w:pPr>
        <w:jc w:val="both"/>
        <w:rPr>
          <w:rFonts w:ascii="Arial" w:hAnsi="Arial" w:cs="Arial"/>
          <w:sz w:val="22"/>
          <w:szCs w:val="22"/>
        </w:rPr>
      </w:pPr>
    </w:p>
    <w:p w:rsidR="00386671" w:rsidRPr="00386671" w:rsidRDefault="00386671" w:rsidP="00386671">
      <w:pPr>
        <w:jc w:val="both"/>
        <w:rPr>
          <w:rFonts w:ascii="Arial" w:hAnsi="Arial" w:cs="Arial"/>
          <w:sz w:val="22"/>
          <w:szCs w:val="22"/>
        </w:rPr>
      </w:pPr>
      <w:r w:rsidRPr="00386671">
        <w:rPr>
          <w:rFonts w:ascii="Arial" w:hAnsi="Arial" w:cs="Arial"/>
          <w:sz w:val="22"/>
          <w:szCs w:val="22"/>
        </w:rPr>
        <w:t xml:space="preserve">The </w:t>
      </w:r>
      <w:proofErr w:type="spellStart"/>
      <w:r w:rsidRPr="00386671">
        <w:rPr>
          <w:rFonts w:ascii="Arial" w:hAnsi="Arial" w:cs="Arial"/>
          <w:sz w:val="22"/>
          <w:szCs w:val="22"/>
        </w:rPr>
        <w:t>Labour</w:t>
      </w:r>
      <w:proofErr w:type="spellEnd"/>
      <w:r w:rsidRPr="00386671">
        <w:rPr>
          <w:rFonts w:ascii="Arial" w:hAnsi="Arial" w:cs="Arial"/>
          <w:sz w:val="22"/>
          <w:szCs w:val="22"/>
        </w:rPr>
        <w:t xml:space="preserve"> Force Survey (LFS) is an essential source of key </w:t>
      </w:r>
      <w:proofErr w:type="spellStart"/>
      <w:r w:rsidRPr="00386671">
        <w:rPr>
          <w:rFonts w:ascii="Arial" w:hAnsi="Arial" w:cs="Arial"/>
          <w:sz w:val="22"/>
          <w:szCs w:val="22"/>
        </w:rPr>
        <w:t>labour</w:t>
      </w:r>
      <w:proofErr w:type="spellEnd"/>
      <w:r w:rsidRPr="00386671">
        <w:rPr>
          <w:rFonts w:ascii="Arial" w:hAnsi="Arial" w:cs="Arial"/>
          <w:sz w:val="22"/>
          <w:szCs w:val="22"/>
        </w:rPr>
        <w:t xml:space="preserve"> market indicators used to guide national planning and policy decisions. The data generated supports the monitoring of economic performance and informs the development of employment </w:t>
      </w:r>
      <w:proofErr w:type="spellStart"/>
      <w:r w:rsidRPr="00386671">
        <w:rPr>
          <w:rFonts w:ascii="Arial" w:hAnsi="Arial" w:cs="Arial"/>
          <w:sz w:val="22"/>
          <w:szCs w:val="22"/>
        </w:rPr>
        <w:t>programmes</w:t>
      </w:r>
      <w:proofErr w:type="spellEnd"/>
      <w:r w:rsidRPr="00386671">
        <w:rPr>
          <w:rFonts w:ascii="Arial" w:hAnsi="Arial" w:cs="Arial"/>
          <w:sz w:val="22"/>
          <w:szCs w:val="22"/>
        </w:rPr>
        <w:t>, poverty reduction strategies, and other socio-economic policies.</w:t>
      </w:r>
    </w:p>
    <w:p w:rsidR="00386671" w:rsidRDefault="003322F1" w:rsidP="00386671">
      <w:pPr>
        <w:jc w:val="both"/>
        <w:rPr>
          <w:rFonts w:ascii="Arial" w:hAnsi="Arial" w:cs="Arial"/>
          <w:sz w:val="22"/>
          <w:szCs w:val="22"/>
        </w:rPr>
      </w:pPr>
      <w:r>
        <w:rPr>
          <w:rFonts w:ascii="Arial" w:hAnsi="Arial" w:cs="Arial"/>
          <w:sz w:val="22"/>
          <w:szCs w:val="22"/>
        </w:rPr>
        <w:t>The Q2</w:t>
      </w:r>
      <w:r w:rsidR="00386671" w:rsidRPr="00386671">
        <w:rPr>
          <w:rFonts w:ascii="Arial" w:hAnsi="Arial" w:cs="Arial"/>
          <w:sz w:val="22"/>
          <w:szCs w:val="22"/>
        </w:rPr>
        <w:t xml:space="preserve"> 2026 </w:t>
      </w:r>
      <w:proofErr w:type="spellStart"/>
      <w:r w:rsidR="00386671" w:rsidRPr="00386671">
        <w:rPr>
          <w:rFonts w:ascii="Arial" w:hAnsi="Arial" w:cs="Arial"/>
          <w:sz w:val="22"/>
          <w:szCs w:val="22"/>
        </w:rPr>
        <w:t>Labour</w:t>
      </w:r>
      <w:proofErr w:type="spellEnd"/>
      <w:r w:rsidR="00386671" w:rsidRPr="00386671">
        <w:rPr>
          <w:rFonts w:ascii="Arial" w:hAnsi="Arial" w:cs="Arial"/>
          <w:sz w:val="22"/>
          <w:szCs w:val="22"/>
        </w:rPr>
        <w:t xml:space="preserve"> Force</w:t>
      </w:r>
      <w:r>
        <w:rPr>
          <w:rFonts w:ascii="Arial" w:hAnsi="Arial" w:cs="Arial"/>
          <w:sz w:val="22"/>
          <w:szCs w:val="22"/>
        </w:rPr>
        <w:t xml:space="preserve"> Survey was conducted in May 2026, covering 2,928 households acros</w:t>
      </w:r>
      <w:r w:rsidR="00143C7B">
        <w:rPr>
          <w:rFonts w:ascii="Arial" w:hAnsi="Arial" w:cs="Arial"/>
          <w:sz w:val="22"/>
          <w:szCs w:val="22"/>
        </w:rPr>
        <w:t xml:space="preserve">s 19 </w:t>
      </w:r>
      <w:proofErr w:type="spellStart"/>
      <w:r w:rsidR="00143C7B">
        <w:rPr>
          <w:rFonts w:ascii="Arial" w:hAnsi="Arial" w:cs="Arial"/>
          <w:sz w:val="22"/>
          <w:szCs w:val="22"/>
        </w:rPr>
        <w:t>dzongkhags</w:t>
      </w:r>
      <w:proofErr w:type="spellEnd"/>
      <w:r w:rsidR="00143C7B">
        <w:rPr>
          <w:rFonts w:ascii="Arial" w:hAnsi="Arial" w:cs="Arial"/>
          <w:sz w:val="22"/>
          <w:szCs w:val="22"/>
        </w:rPr>
        <w:t>. Of these, 2,831</w:t>
      </w:r>
      <w:r w:rsidR="00386671" w:rsidRPr="00386671">
        <w:rPr>
          <w:rFonts w:ascii="Arial" w:hAnsi="Arial" w:cs="Arial"/>
          <w:sz w:val="22"/>
          <w:szCs w:val="22"/>
        </w:rPr>
        <w:t xml:space="preserve"> households successfully participated, resulting in a high response ra</w:t>
      </w:r>
      <w:r>
        <w:rPr>
          <w:rFonts w:ascii="Arial" w:hAnsi="Arial" w:cs="Arial"/>
          <w:sz w:val="22"/>
          <w:szCs w:val="22"/>
        </w:rPr>
        <w:t>te of 96.7</w:t>
      </w:r>
      <w:r w:rsidR="00386671" w:rsidRPr="00386671">
        <w:rPr>
          <w:rFonts w:ascii="Arial" w:hAnsi="Arial" w:cs="Arial"/>
          <w:sz w:val="22"/>
          <w:szCs w:val="22"/>
        </w:rPr>
        <w:t xml:space="preserve"> percent.</w:t>
      </w:r>
    </w:p>
    <w:p w:rsidR="007242BF" w:rsidRDefault="00386671" w:rsidP="007242BF">
      <w:pPr>
        <w:jc w:val="both"/>
        <w:rPr>
          <w:rFonts w:ascii="Arial" w:hAnsi="Arial" w:cs="Arial"/>
          <w:sz w:val="22"/>
          <w:szCs w:val="22"/>
        </w:rPr>
      </w:pPr>
      <w:r>
        <w:rPr>
          <w:rFonts w:ascii="Arial" w:hAnsi="Arial" w:cs="Arial"/>
          <w:sz w:val="22"/>
          <w:szCs w:val="22"/>
        </w:rPr>
        <w:t>The</w:t>
      </w:r>
      <w:r w:rsidRPr="00386671">
        <w:rPr>
          <w:rFonts w:ascii="Arial" w:hAnsi="Arial" w:cs="Arial"/>
          <w:sz w:val="22"/>
          <w:szCs w:val="22"/>
        </w:rPr>
        <w:t xml:space="preserve"> indicators are produced at the domain level due to the relatively small sample size, which can lead to high sampling variability and large standard errors at more disaggregated levels, thereby reducing the statistical reliability and precision of the estimates. The survey adheres to the </w:t>
      </w:r>
      <w:proofErr w:type="spellStart"/>
      <w:r w:rsidRPr="00386671">
        <w:rPr>
          <w:rFonts w:ascii="Arial" w:hAnsi="Arial" w:cs="Arial"/>
          <w:sz w:val="22"/>
          <w:szCs w:val="22"/>
        </w:rPr>
        <w:t>labour</w:t>
      </w:r>
      <w:proofErr w:type="spellEnd"/>
      <w:r w:rsidRPr="00386671">
        <w:rPr>
          <w:rFonts w:ascii="Arial" w:hAnsi="Arial" w:cs="Arial"/>
          <w:sz w:val="22"/>
          <w:szCs w:val="22"/>
        </w:rPr>
        <w:t xml:space="preserve"> force concepts and standards set by the International </w:t>
      </w:r>
      <w:proofErr w:type="spellStart"/>
      <w:r w:rsidRPr="00386671">
        <w:rPr>
          <w:rFonts w:ascii="Arial" w:hAnsi="Arial" w:cs="Arial"/>
          <w:sz w:val="22"/>
          <w:szCs w:val="22"/>
        </w:rPr>
        <w:t>Labour</w:t>
      </w:r>
      <w:proofErr w:type="spellEnd"/>
      <w:r w:rsidRPr="00386671">
        <w:rPr>
          <w:rFonts w:ascii="Arial" w:hAnsi="Arial" w:cs="Arial"/>
          <w:sz w:val="22"/>
          <w:szCs w:val="22"/>
        </w:rPr>
        <w:t xml:space="preserve"> Organization (ILO), ensuring that the results are comparable at the international level.</w:t>
      </w:r>
    </w:p>
    <w:p w:rsidR="00876163" w:rsidRDefault="00876163" w:rsidP="007242BF">
      <w:pPr>
        <w:jc w:val="both"/>
        <w:rPr>
          <w:rFonts w:ascii="Arial" w:hAnsi="Arial" w:cs="Arial"/>
          <w:sz w:val="22"/>
          <w:szCs w:val="22"/>
        </w:rPr>
      </w:pPr>
    </w:p>
    <w:p w:rsidR="00876163" w:rsidRDefault="00876163" w:rsidP="007242BF">
      <w:pPr>
        <w:jc w:val="both"/>
        <w:rPr>
          <w:rFonts w:ascii="Arial" w:hAnsi="Arial" w:cs="Arial"/>
          <w:sz w:val="22"/>
          <w:szCs w:val="22"/>
        </w:rPr>
      </w:pPr>
    </w:p>
    <w:p w:rsidR="00143C7B" w:rsidRPr="00386671" w:rsidRDefault="00143C7B" w:rsidP="007242BF">
      <w:pPr>
        <w:jc w:val="both"/>
        <w:rPr>
          <w:rFonts w:ascii="Arial" w:hAnsi="Arial" w:cs="Arial"/>
          <w:sz w:val="22"/>
          <w:szCs w:val="22"/>
        </w:rPr>
      </w:pPr>
    </w:p>
    <w:p w:rsidR="00143C7B" w:rsidRDefault="00386671" w:rsidP="007242BF">
      <w:pPr>
        <w:jc w:val="both"/>
        <w:rPr>
          <w:rFonts w:ascii="Arial" w:hAnsi="Arial" w:cs="Arial"/>
          <w:b/>
          <w:bCs/>
          <w:sz w:val="22"/>
          <w:szCs w:val="22"/>
        </w:rPr>
      </w:pPr>
      <w:r w:rsidRPr="00386671">
        <w:rPr>
          <w:rFonts w:ascii="Arial" w:hAnsi="Arial" w:cs="Arial"/>
          <w:b/>
          <w:bCs/>
          <w:sz w:val="22"/>
          <w:szCs w:val="22"/>
        </w:rPr>
        <w:lastRenderedPageBreak/>
        <w:t xml:space="preserve">Table 1: Key Highlights of </w:t>
      </w:r>
      <w:proofErr w:type="spellStart"/>
      <w:r w:rsidRPr="00386671">
        <w:rPr>
          <w:rFonts w:ascii="Arial" w:hAnsi="Arial" w:cs="Arial"/>
          <w:b/>
          <w:bCs/>
          <w:sz w:val="22"/>
          <w:szCs w:val="22"/>
        </w:rPr>
        <w:t>Labour</w:t>
      </w:r>
      <w:proofErr w:type="spellEnd"/>
      <w:r w:rsidRPr="00386671">
        <w:rPr>
          <w:rFonts w:ascii="Arial" w:hAnsi="Arial" w:cs="Arial"/>
          <w:b/>
          <w:bCs/>
          <w:sz w:val="22"/>
          <w:szCs w:val="22"/>
        </w:rPr>
        <w:t xml:space="preserve"> Market Indicators</w:t>
      </w:r>
    </w:p>
    <w:tbl>
      <w:tblPr>
        <w:tblW w:w="9135" w:type="dxa"/>
        <w:tblLook w:val="04A0" w:firstRow="1" w:lastRow="0" w:firstColumn="1" w:lastColumn="0" w:noHBand="0" w:noVBand="1"/>
      </w:tblPr>
      <w:tblGrid>
        <w:gridCol w:w="2567"/>
        <w:gridCol w:w="647"/>
        <w:gridCol w:w="638"/>
        <w:gridCol w:w="638"/>
        <w:gridCol w:w="655"/>
        <w:gridCol w:w="629"/>
        <w:gridCol w:w="629"/>
        <w:gridCol w:w="766"/>
        <w:gridCol w:w="633"/>
        <w:gridCol w:w="666"/>
        <w:gridCol w:w="667"/>
      </w:tblGrid>
      <w:tr w:rsidR="00143C7B" w:rsidRPr="00143C7B" w:rsidTr="00143C7B">
        <w:trPr>
          <w:trHeight w:val="251"/>
        </w:trPr>
        <w:tc>
          <w:tcPr>
            <w:tcW w:w="2567" w:type="dxa"/>
            <w:vMerge w:val="restart"/>
            <w:tcBorders>
              <w:top w:val="single" w:sz="4" w:space="0" w:color="auto"/>
              <w:left w:val="single" w:sz="4" w:space="0" w:color="auto"/>
              <w:bottom w:val="single" w:sz="4" w:space="0" w:color="auto"/>
              <w:right w:val="single" w:sz="4" w:space="0" w:color="auto"/>
            </w:tcBorders>
            <w:shd w:val="clear" w:color="000000" w:fill="0070C0"/>
            <w:vAlign w:val="center"/>
            <w:hideMark/>
          </w:tcPr>
          <w:p w:rsidR="00143C7B" w:rsidRPr="00143C7B" w:rsidRDefault="00143C7B" w:rsidP="00143C7B">
            <w:pPr>
              <w:spacing w:after="0" w:line="240" w:lineRule="auto"/>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Key Indicator (%)</w:t>
            </w:r>
          </w:p>
        </w:tc>
        <w:tc>
          <w:tcPr>
            <w:tcW w:w="2578" w:type="dxa"/>
            <w:gridSpan w:val="4"/>
            <w:tcBorders>
              <w:top w:val="single" w:sz="4" w:space="0" w:color="auto"/>
              <w:left w:val="nil"/>
              <w:bottom w:val="single" w:sz="4" w:space="0" w:color="auto"/>
              <w:right w:val="single" w:sz="4" w:space="0" w:color="000000"/>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2024</w:t>
            </w:r>
          </w:p>
        </w:tc>
        <w:tc>
          <w:tcPr>
            <w:tcW w:w="2657" w:type="dxa"/>
            <w:gridSpan w:val="4"/>
            <w:tcBorders>
              <w:top w:val="single" w:sz="4" w:space="0" w:color="auto"/>
              <w:left w:val="nil"/>
              <w:bottom w:val="single" w:sz="4" w:space="0" w:color="auto"/>
              <w:right w:val="single" w:sz="4" w:space="0" w:color="auto"/>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2025</w:t>
            </w:r>
          </w:p>
        </w:tc>
        <w:tc>
          <w:tcPr>
            <w:tcW w:w="1333" w:type="dxa"/>
            <w:gridSpan w:val="2"/>
            <w:tcBorders>
              <w:top w:val="single" w:sz="4" w:space="0" w:color="auto"/>
              <w:left w:val="nil"/>
              <w:bottom w:val="single" w:sz="4" w:space="0" w:color="auto"/>
              <w:right w:val="single" w:sz="4" w:space="0" w:color="000000"/>
            </w:tcBorders>
            <w:shd w:val="clear" w:color="000000" w:fill="0070C0"/>
            <w:noWrap/>
            <w:vAlign w:val="bottom"/>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2026</w:t>
            </w:r>
          </w:p>
        </w:tc>
      </w:tr>
      <w:tr w:rsidR="00143C7B" w:rsidRPr="00143C7B" w:rsidTr="00143C7B">
        <w:trPr>
          <w:trHeight w:val="251"/>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143C7B" w:rsidRPr="00143C7B" w:rsidRDefault="00143C7B" w:rsidP="00143C7B">
            <w:pPr>
              <w:spacing w:after="0" w:line="240" w:lineRule="auto"/>
              <w:rPr>
                <w:rFonts w:ascii="Arial" w:eastAsia="Times New Roman" w:hAnsi="Arial" w:cs="Arial"/>
                <w:b/>
                <w:bCs/>
                <w:color w:val="FFFFFF"/>
                <w:kern w:val="0"/>
                <w:sz w:val="18"/>
                <w:szCs w:val="18"/>
                <w:lang w:bidi="dz-BT"/>
                <w14:ligatures w14:val="none"/>
              </w:rPr>
            </w:pPr>
          </w:p>
        </w:tc>
        <w:tc>
          <w:tcPr>
            <w:tcW w:w="647"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Q1</w:t>
            </w:r>
          </w:p>
        </w:tc>
        <w:tc>
          <w:tcPr>
            <w:tcW w:w="638"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Q2</w:t>
            </w:r>
          </w:p>
        </w:tc>
        <w:tc>
          <w:tcPr>
            <w:tcW w:w="638"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Q3</w:t>
            </w:r>
          </w:p>
        </w:tc>
        <w:tc>
          <w:tcPr>
            <w:tcW w:w="653" w:type="dxa"/>
            <w:tcBorders>
              <w:top w:val="nil"/>
              <w:left w:val="nil"/>
              <w:bottom w:val="single" w:sz="4" w:space="0" w:color="auto"/>
              <w:right w:val="single" w:sz="4" w:space="0" w:color="auto"/>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Q4</w:t>
            </w:r>
          </w:p>
        </w:tc>
        <w:tc>
          <w:tcPr>
            <w:tcW w:w="629"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Q1</w:t>
            </w:r>
          </w:p>
        </w:tc>
        <w:tc>
          <w:tcPr>
            <w:tcW w:w="629"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Q2</w:t>
            </w:r>
          </w:p>
        </w:tc>
        <w:tc>
          <w:tcPr>
            <w:tcW w:w="766"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Q3</w:t>
            </w:r>
          </w:p>
        </w:tc>
        <w:tc>
          <w:tcPr>
            <w:tcW w:w="631" w:type="dxa"/>
            <w:tcBorders>
              <w:top w:val="nil"/>
              <w:left w:val="nil"/>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Q4</w:t>
            </w:r>
          </w:p>
        </w:tc>
        <w:tc>
          <w:tcPr>
            <w:tcW w:w="666" w:type="dxa"/>
            <w:tcBorders>
              <w:top w:val="nil"/>
              <w:left w:val="single" w:sz="4" w:space="0" w:color="auto"/>
              <w:bottom w:val="single" w:sz="4" w:space="0" w:color="auto"/>
              <w:right w:val="nil"/>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Q1</w:t>
            </w:r>
          </w:p>
        </w:tc>
        <w:tc>
          <w:tcPr>
            <w:tcW w:w="667" w:type="dxa"/>
            <w:tcBorders>
              <w:top w:val="nil"/>
              <w:left w:val="nil"/>
              <w:bottom w:val="single" w:sz="4" w:space="0" w:color="auto"/>
              <w:right w:val="single" w:sz="4" w:space="0" w:color="auto"/>
            </w:tcBorders>
            <w:shd w:val="clear" w:color="000000" w:fill="0070C0"/>
            <w:noWrap/>
            <w:vAlign w:val="center"/>
            <w:hideMark/>
          </w:tcPr>
          <w:p w:rsidR="00143C7B" w:rsidRPr="00143C7B" w:rsidRDefault="00143C7B" w:rsidP="00143C7B">
            <w:pPr>
              <w:spacing w:after="0" w:line="240" w:lineRule="auto"/>
              <w:jc w:val="center"/>
              <w:rPr>
                <w:rFonts w:ascii="Arial" w:eastAsia="Times New Roman" w:hAnsi="Arial" w:cs="Arial"/>
                <w:b/>
                <w:bCs/>
                <w:color w:val="FFFFFF"/>
                <w:kern w:val="0"/>
                <w:sz w:val="18"/>
                <w:szCs w:val="18"/>
                <w:lang w:bidi="dz-BT"/>
                <w14:ligatures w14:val="none"/>
              </w:rPr>
            </w:pPr>
            <w:r w:rsidRPr="00143C7B">
              <w:rPr>
                <w:rFonts w:ascii="Arial" w:eastAsia="Times New Roman" w:hAnsi="Arial" w:cs="Arial"/>
                <w:b/>
                <w:bCs/>
                <w:color w:val="FFFFFF"/>
                <w:kern w:val="0"/>
                <w:sz w:val="18"/>
                <w:szCs w:val="18"/>
                <w:lang w:bidi="dz-BT"/>
                <w14:ligatures w14:val="none"/>
              </w:rPr>
              <w:t>Q2</w:t>
            </w:r>
          </w:p>
        </w:tc>
      </w:tr>
      <w:tr w:rsidR="00143C7B" w:rsidRPr="00143C7B" w:rsidTr="00143C7B">
        <w:trPr>
          <w:trHeight w:val="410"/>
        </w:trPr>
        <w:tc>
          <w:tcPr>
            <w:tcW w:w="2567" w:type="dxa"/>
            <w:tcBorders>
              <w:top w:val="nil"/>
              <w:left w:val="single" w:sz="4" w:space="0" w:color="auto"/>
              <w:bottom w:val="nil"/>
              <w:right w:val="single" w:sz="4" w:space="0" w:color="auto"/>
            </w:tcBorders>
            <w:shd w:val="clear" w:color="000000" w:fill="E7E6E6"/>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proofErr w:type="spellStart"/>
            <w:r w:rsidRPr="00143C7B">
              <w:rPr>
                <w:rFonts w:ascii="Arial" w:eastAsia="Times New Roman" w:hAnsi="Arial" w:cs="Arial"/>
                <w:b/>
                <w:bCs/>
                <w:color w:val="000000"/>
                <w:kern w:val="0"/>
                <w:sz w:val="18"/>
                <w:szCs w:val="18"/>
                <w:lang w:bidi="dz-BT"/>
                <w14:ligatures w14:val="none"/>
              </w:rPr>
              <w:t>Labour</w:t>
            </w:r>
            <w:proofErr w:type="spellEnd"/>
            <w:r w:rsidRPr="00143C7B">
              <w:rPr>
                <w:rFonts w:ascii="Arial" w:eastAsia="Times New Roman" w:hAnsi="Arial" w:cs="Arial"/>
                <w:b/>
                <w:bCs/>
                <w:color w:val="000000"/>
                <w:kern w:val="0"/>
                <w:sz w:val="18"/>
                <w:szCs w:val="18"/>
                <w:lang w:bidi="dz-BT"/>
                <w14:ligatures w14:val="none"/>
              </w:rPr>
              <w:t xml:space="preserve"> Force Participation Rate</w:t>
            </w:r>
          </w:p>
        </w:tc>
        <w:tc>
          <w:tcPr>
            <w:tcW w:w="647"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53" w:type="dxa"/>
            <w:tcBorders>
              <w:top w:val="nil"/>
              <w:left w:val="nil"/>
              <w:bottom w:val="nil"/>
              <w:right w:val="single" w:sz="4" w:space="0" w:color="auto"/>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7" w:type="dxa"/>
            <w:tcBorders>
              <w:top w:val="nil"/>
              <w:left w:val="nil"/>
              <w:bottom w:val="nil"/>
              <w:right w:val="single" w:sz="4" w:space="0" w:color="auto"/>
            </w:tcBorders>
            <w:shd w:val="clear" w:color="000000" w:fill="E7E6E6"/>
            <w:noWrap/>
            <w:vAlign w:val="bottom"/>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Sex</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72.8</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72.5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75.7</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74.0</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73.3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73.5</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74.2</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72.7</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73.9</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73.5</w:t>
            </w:r>
          </w:p>
        </w:tc>
      </w:tr>
      <w:tr w:rsidR="00143C7B" w:rsidRPr="00143C7B" w:rsidTr="00143C7B">
        <w:trPr>
          <w:trHeight w:val="25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Female</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54.1</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50.0</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53.5</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54.6</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54.4</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56.3</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55.8</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55.8</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56.0</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55.8</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Area</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Urban</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58.8</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56.7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59.1</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61.0</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59.8</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60.7</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61.1</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59.3</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63.4</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59.2</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Rural</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67.0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65.0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68.7</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67.1</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67.1</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68.0</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68.1</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67.7</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66.6</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68.6</w:t>
            </w:r>
          </w:p>
        </w:tc>
      </w:tr>
      <w:tr w:rsidR="00143C7B" w:rsidRPr="00143C7B" w:rsidTr="00143C7B">
        <w:trPr>
          <w:trHeight w:val="26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Total</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63.9</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61.8</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65.1</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64.8</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64.3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65.3</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65.5</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64.6</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65.4</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65.1</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Inactivity Rate</w:t>
            </w:r>
          </w:p>
        </w:tc>
        <w:tc>
          <w:tcPr>
            <w:tcW w:w="647"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53"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29"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766"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7"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Sex</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27.2</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27.5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24.3</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26.0</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26.5</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25.8</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27.3</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26.1</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26.5</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Female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45.9</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50.0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46.5</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45.4</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45.6</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43.7</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44.2</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44.2</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44.0</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44.2</w:t>
            </w:r>
          </w:p>
        </w:tc>
      </w:tr>
      <w:tr w:rsidR="00143C7B" w:rsidRPr="00143C7B" w:rsidTr="00143C7B">
        <w:trPr>
          <w:trHeight w:val="251"/>
        </w:trPr>
        <w:tc>
          <w:tcPr>
            <w:tcW w:w="2567" w:type="dxa"/>
            <w:tcBorders>
              <w:top w:val="single" w:sz="4" w:space="0" w:color="auto"/>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Area</w:t>
            </w:r>
          </w:p>
        </w:tc>
        <w:tc>
          <w:tcPr>
            <w:tcW w:w="647"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53" w:type="dxa"/>
            <w:tcBorders>
              <w:top w:val="single" w:sz="4" w:space="0" w:color="auto"/>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Urban</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41.2</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43.3</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40.9</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39.0</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40.2</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39.3</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38.9</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40.7</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36.6</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40.8</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Rural</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33.0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35.0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31.3</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32.9</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32.9</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32.0</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31.9</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32.3</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33.4</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31.4</w:t>
            </w:r>
          </w:p>
        </w:tc>
      </w:tr>
      <w:tr w:rsidR="00143C7B" w:rsidRPr="00143C7B" w:rsidTr="00143C7B">
        <w:trPr>
          <w:trHeight w:val="26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Total</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36.1</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38.2</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34.9</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35.2</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35.7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34.7</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34.5</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35.4</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34.6</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34.9</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Employment Rate</w:t>
            </w:r>
          </w:p>
        </w:tc>
        <w:tc>
          <w:tcPr>
            <w:tcW w:w="647"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53"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7"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Sex</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96.9</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97.6</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97.6</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97.8</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96.9</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97.0</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98.1</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Female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95.8</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95.6</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95.1</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96.5</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95.3</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95.0</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96.1</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96.3</w:t>
            </w:r>
          </w:p>
        </w:tc>
      </w:tr>
      <w:tr w:rsidR="00143C7B" w:rsidRPr="00143C7B" w:rsidTr="00143C7B">
        <w:trPr>
          <w:trHeight w:val="251"/>
        </w:trPr>
        <w:tc>
          <w:tcPr>
            <w:tcW w:w="2567" w:type="dxa"/>
            <w:tcBorders>
              <w:top w:val="single" w:sz="4" w:space="0" w:color="auto"/>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Area</w:t>
            </w:r>
          </w:p>
        </w:tc>
        <w:tc>
          <w:tcPr>
            <w:tcW w:w="647"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53" w:type="dxa"/>
            <w:tcBorders>
              <w:top w:val="single" w:sz="4" w:space="0" w:color="auto"/>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Urban</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93.4</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94.3</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94.9</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94.5</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94.6</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94.6</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92.5</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94.6</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94.5</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Rural</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97.2</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97.9</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98.3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97.6</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98.4</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97.9</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98.0</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97.8</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98.8</w:t>
            </w:r>
          </w:p>
        </w:tc>
      </w:tr>
      <w:tr w:rsidR="00143C7B" w:rsidRPr="00143C7B" w:rsidTr="00143C7B">
        <w:trPr>
          <w:trHeight w:val="26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Total</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95.9</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96.3</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96.9</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96.9</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96.4</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97.1</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96.8</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96.2</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96.6</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97.3</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Unemployment Rate</w:t>
            </w:r>
          </w:p>
        </w:tc>
        <w:tc>
          <w:tcPr>
            <w:tcW w:w="647"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53"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single" w:sz="4" w:space="0" w:color="auto"/>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7"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Sex</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4.0</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2.4</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2.4</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2.3</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3.0</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Female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4.3</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4.2</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4.4</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4.9</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3.5</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4.7</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5.0</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3.9</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3.7</w:t>
            </w:r>
          </w:p>
        </w:tc>
      </w:tr>
      <w:tr w:rsidR="00143C7B" w:rsidRPr="00143C7B" w:rsidTr="00143C7B">
        <w:trPr>
          <w:trHeight w:val="251"/>
        </w:trPr>
        <w:tc>
          <w:tcPr>
            <w:tcW w:w="2567" w:type="dxa"/>
            <w:tcBorders>
              <w:top w:val="single" w:sz="4" w:space="0" w:color="auto"/>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Area</w:t>
            </w:r>
          </w:p>
        </w:tc>
        <w:tc>
          <w:tcPr>
            <w:tcW w:w="647"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53" w:type="dxa"/>
            <w:tcBorders>
              <w:top w:val="single" w:sz="4" w:space="0" w:color="auto"/>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Urban</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6.6</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5.1</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5.5</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7.5</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5.4</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5.5</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Rural</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2.8</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1.8</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2.4</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1.6</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2.0</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2.2</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1.2</w:t>
            </w:r>
          </w:p>
        </w:tc>
      </w:tr>
      <w:tr w:rsidR="00143C7B" w:rsidRPr="00143C7B" w:rsidTr="00143C7B">
        <w:trPr>
          <w:trHeight w:val="26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Total</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4.1</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3.7</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3.1</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3.1</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3.6</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2.9</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3.2</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3.8</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3.4</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2.7</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Youth Unemployment Rate</w:t>
            </w:r>
          </w:p>
        </w:tc>
        <w:tc>
          <w:tcPr>
            <w:tcW w:w="647"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38"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53"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7" w:type="dxa"/>
            <w:tcBorders>
              <w:top w:val="nil"/>
              <w:left w:val="nil"/>
              <w:bottom w:val="nil"/>
              <w:right w:val="single" w:sz="4" w:space="0" w:color="auto"/>
            </w:tcBorders>
            <w:shd w:val="clear" w:color="000000" w:fill="E7E6E6"/>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Sex</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Times New Roman" w:eastAsia="Times New Roman" w:hAnsi="Times New Roman" w:cs="Times New Roman"/>
                <w:kern w:val="0"/>
                <w:sz w:val="20"/>
                <w:szCs w:val="20"/>
                <w:lang w:bidi="dz-BT"/>
                <w14:ligatures w14:val="none"/>
              </w:rPr>
            </w:pP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25.7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18.9</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11.9</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14.5</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14.8</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13.8</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13.4</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15.1</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16.2</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12.8</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Female</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19.6</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21.8</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21.2</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19.5</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20.3</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22.4</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26.5</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16.7</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13.9</w:t>
            </w:r>
          </w:p>
        </w:tc>
      </w:tr>
      <w:tr w:rsidR="00143C7B" w:rsidRPr="00143C7B" w:rsidTr="00143C7B">
        <w:trPr>
          <w:trHeight w:val="251"/>
        </w:trPr>
        <w:tc>
          <w:tcPr>
            <w:tcW w:w="2567" w:type="dxa"/>
            <w:tcBorders>
              <w:top w:val="single" w:sz="4" w:space="0" w:color="auto"/>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Area</w:t>
            </w:r>
          </w:p>
        </w:tc>
        <w:tc>
          <w:tcPr>
            <w:tcW w:w="647"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8"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53" w:type="dxa"/>
            <w:tcBorders>
              <w:top w:val="single" w:sz="4" w:space="0" w:color="auto"/>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29"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766" w:type="dxa"/>
            <w:tcBorders>
              <w:top w:val="single" w:sz="4" w:space="0" w:color="auto"/>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Urban</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31.5</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20.1</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19.8</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19.7</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22.0</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21.16</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27.1</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17.0</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18.7</w:t>
            </w:r>
          </w:p>
        </w:tc>
      </w:tr>
      <w:tr w:rsidR="00143C7B" w:rsidRPr="00143C7B" w:rsidTr="00143C7B">
        <w:trPr>
          <w:trHeight w:val="251"/>
        </w:trPr>
        <w:tc>
          <w:tcPr>
            <w:tcW w:w="2567" w:type="dxa"/>
            <w:tcBorders>
              <w:top w:val="nil"/>
              <w:left w:val="single" w:sz="4" w:space="0" w:color="auto"/>
              <w:bottom w:val="nil"/>
              <w:right w:val="single" w:sz="4" w:space="0" w:color="auto"/>
            </w:tcBorders>
            <w:shd w:val="clear" w:color="auto" w:fill="auto"/>
            <w:noWrap/>
            <w:vAlign w:val="center"/>
            <w:hideMark/>
          </w:tcPr>
          <w:p w:rsidR="00143C7B" w:rsidRPr="00143C7B" w:rsidRDefault="00143C7B" w:rsidP="00143C7B">
            <w:pPr>
              <w:spacing w:after="0" w:line="240" w:lineRule="auto"/>
              <w:ind w:firstLineChars="100" w:firstLine="180"/>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 xml:space="preserve">  Rural</w:t>
            </w:r>
          </w:p>
        </w:tc>
        <w:tc>
          <w:tcPr>
            <w:tcW w:w="647"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17.9</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16.7</w:t>
            </w:r>
          </w:p>
        </w:tc>
        <w:tc>
          <w:tcPr>
            <w:tcW w:w="638"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13.8</w:t>
            </w:r>
          </w:p>
        </w:tc>
        <w:tc>
          <w:tcPr>
            <w:tcW w:w="653"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15.5</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14.3</w:t>
            </w:r>
          </w:p>
        </w:tc>
        <w:tc>
          <w:tcPr>
            <w:tcW w:w="629"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12.8</w:t>
            </w:r>
          </w:p>
        </w:tc>
        <w:tc>
          <w:tcPr>
            <w:tcW w:w="7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15.18</w:t>
            </w:r>
          </w:p>
        </w:tc>
        <w:tc>
          <w:tcPr>
            <w:tcW w:w="631"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16.0</w:t>
            </w:r>
          </w:p>
        </w:tc>
        <w:tc>
          <w:tcPr>
            <w:tcW w:w="666" w:type="dxa"/>
            <w:tcBorders>
              <w:top w:val="nil"/>
              <w:left w:val="nil"/>
              <w:bottom w:val="nil"/>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15.9</w:t>
            </w:r>
          </w:p>
        </w:tc>
        <w:tc>
          <w:tcPr>
            <w:tcW w:w="667" w:type="dxa"/>
            <w:tcBorders>
              <w:top w:val="nil"/>
              <w:left w:val="nil"/>
              <w:bottom w:val="nil"/>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color w:val="000000"/>
                <w:kern w:val="0"/>
                <w:sz w:val="18"/>
                <w:szCs w:val="18"/>
                <w:lang w:bidi="dz-BT"/>
                <w14:ligatures w14:val="none"/>
              </w:rPr>
            </w:pPr>
            <w:r w:rsidRPr="00143C7B">
              <w:rPr>
                <w:rFonts w:ascii="Arial" w:eastAsia="Times New Roman" w:hAnsi="Arial" w:cs="Arial"/>
                <w:color w:val="000000"/>
                <w:kern w:val="0"/>
                <w:sz w:val="18"/>
                <w:szCs w:val="18"/>
                <w:lang w:bidi="dz-BT"/>
                <w14:ligatures w14:val="none"/>
              </w:rPr>
              <w:t>9.5</w:t>
            </w:r>
          </w:p>
        </w:tc>
      </w:tr>
      <w:tr w:rsidR="00143C7B" w:rsidRPr="00143C7B" w:rsidTr="00143C7B">
        <w:trPr>
          <w:trHeight w:val="261"/>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Total</w:t>
            </w:r>
          </w:p>
        </w:tc>
        <w:tc>
          <w:tcPr>
            <w:tcW w:w="647"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22.9</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19.2</w:t>
            </w:r>
          </w:p>
        </w:tc>
        <w:tc>
          <w:tcPr>
            <w:tcW w:w="638"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16.5</w:t>
            </w:r>
          </w:p>
        </w:tc>
        <w:tc>
          <w:tcPr>
            <w:tcW w:w="653"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17.7</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17.1</w:t>
            </w:r>
          </w:p>
        </w:tc>
        <w:tc>
          <w:tcPr>
            <w:tcW w:w="629"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center"/>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17.3</w:t>
            </w:r>
          </w:p>
        </w:tc>
        <w:tc>
          <w:tcPr>
            <w:tcW w:w="7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17.8</w:t>
            </w:r>
          </w:p>
        </w:tc>
        <w:tc>
          <w:tcPr>
            <w:tcW w:w="631"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20.6</w:t>
            </w:r>
          </w:p>
        </w:tc>
        <w:tc>
          <w:tcPr>
            <w:tcW w:w="666" w:type="dxa"/>
            <w:tcBorders>
              <w:top w:val="nil"/>
              <w:left w:val="nil"/>
              <w:bottom w:val="single" w:sz="4" w:space="0" w:color="auto"/>
              <w:right w:val="nil"/>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16.5</w:t>
            </w:r>
          </w:p>
        </w:tc>
        <w:tc>
          <w:tcPr>
            <w:tcW w:w="667" w:type="dxa"/>
            <w:tcBorders>
              <w:top w:val="nil"/>
              <w:left w:val="nil"/>
              <w:bottom w:val="single" w:sz="4" w:space="0" w:color="auto"/>
              <w:right w:val="single" w:sz="4" w:space="0" w:color="auto"/>
            </w:tcBorders>
            <w:shd w:val="clear" w:color="auto" w:fill="auto"/>
            <w:noWrap/>
            <w:vAlign w:val="center"/>
            <w:hideMark/>
          </w:tcPr>
          <w:p w:rsidR="00143C7B" w:rsidRPr="00143C7B" w:rsidRDefault="00143C7B" w:rsidP="00143C7B">
            <w:pPr>
              <w:spacing w:after="0" w:line="240" w:lineRule="auto"/>
              <w:jc w:val="right"/>
              <w:rPr>
                <w:rFonts w:ascii="Arial" w:eastAsia="Times New Roman" w:hAnsi="Arial" w:cs="Arial"/>
                <w:b/>
                <w:bCs/>
                <w:color w:val="000000"/>
                <w:kern w:val="0"/>
                <w:sz w:val="18"/>
                <w:szCs w:val="18"/>
                <w:lang w:bidi="dz-BT"/>
                <w14:ligatures w14:val="none"/>
              </w:rPr>
            </w:pPr>
            <w:r w:rsidRPr="00143C7B">
              <w:rPr>
                <w:rFonts w:ascii="Arial" w:eastAsia="Times New Roman" w:hAnsi="Arial" w:cs="Arial"/>
                <w:b/>
                <w:bCs/>
                <w:color w:val="000000"/>
                <w:kern w:val="0"/>
                <w:sz w:val="18"/>
                <w:szCs w:val="18"/>
                <w:lang w:bidi="dz-BT"/>
                <w14:ligatures w14:val="none"/>
              </w:rPr>
              <w:t>13.4</w:t>
            </w:r>
          </w:p>
        </w:tc>
      </w:tr>
    </w:tbl>
    <w:p w:rsidR="00143C7B" w:rsidRDefault="00143C7B">
      <w:pPr>
        <w:spacing w:after="200" w:line="276" w:lineRule="auto"/>
        <w:rPr>
          <w:rFonts w:ascii="Arial" w:hAnsi="Arial" w:cs="Arial"/>
          <w:b/>
          <w:bCs/>
          <w:sz w:val="22"/>
          <w:szCs w:val="22"/>
        </w:rPr>
      </w:pPr>
    </w:p>
    <w:p w:rsidR="00143C7B" w:rsidRDefault="00143C7B">
      <w:pPr>
        <w:spacing w:after="200" w:line="276" w:lineRule="auto"/>
        <w:rPr>
          <w:rFonts w:ascii="Arial" w:hAnsi="Arial" w:cs="Arial"/>
          <w:b/>
          <w:bCs/>
          <w:sz w:val="22"/>
          <w:szCs w:val="22"/>
        </w:rPr>
      </w:pPr>
      <w:r>
        <w:rPr>
          <w:rFonts w:ascii="Arial" w:hAnsi="Arial" w:cs="Arial"/>
          <w:b/>
          <w:bCs/>
          <w:sz w:val="22"/>
          <w:szCs w:val="22"/>
        </w:rPr>
        <w:br w:type="page"/>
      </w:r>
    </w:p>
    <w:p w:rsidR="000F0C83" w:rsidRPr="006B6F55" w:rsidRDefault="000F0C83" w:rsidP="007242BF">
      <w:pPr>
        <w:jc w:val="both"/>
        <w:rPr>
          <w:rFonts w:ascii="Arial" w:hAnsi="Arial" w:cs="Arial"/>
          <w:b/>
          <w:bCs/>
          <w:sz w:val="22"/>
          <w:szCs w:val="22"/>
        </w:rPr>
      </w:pPr>
      <w:r w:rsidRPr="006B6F55">
        <w:rPr>
          <w:rFonts w:ascii="Arial" w:hAnsi="Arial" w:cs="Arial"/>
          <w:noProof/>
          <w:color w:val="365F91" w:themeColor="accent1" w:themeShade="BF"/>
          <w:sz w:val="22"/>
          <w:szCs w:val="22"/>
          <w:lang w:bidi="dz-BT"/>
        </w:rPr>
        <w:lastRenderedPageBreak/>
        <mc:AlternateContent>
          <mc:Choice Requires="wps">
            <w:drawing>
              <wp:anchor distT="0" distB="0" distL="114300" distR="114300" simplePos="0" relativeHeight="251672576" behindDoc="0" locked="0" layoutInCell="1" allowOverlap="1" wp14:anchorId="4AC9B2ED" wp14:editId="36E206E3">
                <wp:simplePos x="0" y="0"/>
                <wp:positionH relativeFrom="column">
                  <wp:posOffset>0</wp:posOffset>
                </wp:positionH>
                <wp:positionV relativeFrom="paragraph">
                  <wp:posOffset>291465</wp:posOffset>
                </wp:positionV>
                <wp:extent cx="5975350" cy="311150"/>
                <wp:effectExtent l="0" t="0" r="6350" b="0"/>
                <wp:wrapNone/>
                <wp:docPr id="645717284" name="Text Box 645717284"/>
                <wp:cNvGraphicFramePr/>
                <a:graphic xmlns:a="http://schemas.openxmlformats.org/drawingml/2006/main">
                  <a:graphicData uri="http://schemas.microsoft.com/office/word/2010/wordprocessingShape">
                    <wps:wsp>
                      <wps:cNvSpPr txBox="1"/>
                      <wps:spPr>
                        <a:xfrm>
                          <a:off x="0" y="0"/>
                          <a:ext cx="5975350" cy="311150"/>
                        </a:xfrm>
                        <a:prstGeom prst="rect">
                          <a:avLst/>
                        </a:prstGeom>
                        <a:solidFill>
                          <a:srgbClr val="0070C0"/>
                        </a:solidFill>
                        <a:ln w="6350">
                          <a:noFill/>
                        </a:ln>
                        <a:effectLst/>
                      </wps:spPr>
                      <wps:txbx>
                        <w:txbxContent>
                          <w:p w:rsidR="006E015C" w:rsidRPr="00246BC3" w:rsidRDefault="006E015C" w:rsidP="007242BF">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46BC3">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w:t>
                            </w:r>
                            <w:proofErr w:type="spellStart"/>
                            <w:r w:rsidR="00436FB0" w:rsidRPr="00436FB0">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Labour</w:t>
                            </w:r>
                            <w:proofErr w:type="spellEnd"/>
                            <w:r w:rsidR="00436FB0" w:rsidRPr="00436FB0">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force participation rate remains stable at around 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9B2ED" id="Text Box 645717284" o:spid="_x0000_s1027" type="#_x0000_t202" style="position:absolute;left:0;text-align:left;margin-left:0;margin-top:22.95pt;width:470.5pt;height: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" fillcolor="#0070c0" stroked="f" strokeweight=".5pt">
                <v:textbox>
                  <w:txbxContent>
                    <w:p w:rsidR="006E015C" w:rsidRPr="00246BC3" w:rsidRDefault="006E015C" w:rsidP="007242BF">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46BC3">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 </w:t>
                      </w:r>
                      <w:proofErr w:type="spellStart"/>
                      <w:r w:rsidR="00436FB0" w:rsidRPr="00436FB0">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Labour</w:t>
                      </w:r>
                      <w:proofErr w:type="spellEnd"/>
                      <w:r w:rsidR="00436FB0" w:rsidRPr="00436FB0">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force participation rate remains stable at around 65%</w:t>
                      </w:r>
                    </w:p>
                  </w:txbxContent>
                </v:textbox>
              </v:shape>
            </w:pict>
          </mc:Fallback>
        </mc:AlternateContent>
      </w:r>
      <w:r w:rsidRPr="006B6F55">
        <w:rPr>
          <w:rFonts w:ascii="Arial" w:hAnsi="Arial" w:cs="Arial"/>
          <w:b/>
          <w:bCs/>
          <w:sz w:val="22"/>
          <w:szCs w:val="22"/>
        </w:rPr>
        <w:t xml:space="preserve">SURVEY FINDINGS </w:t>
      </w:r>
    </w:p>
    <w:p w:rsidR="000F0C83" w:rsidRPr="006B6F55" w:rsidRDefault="000F0C83" w:rsidP="000F0C83">
      <w:pPr>
        <w:rPr>
          <w:rFonts w:ascii="Arial" w:hAnsi="Arial" w:cs="Arial"/>
          <w:sz w:val="22"/>
          <w:szCs w:val="22"/>
        </w:rPr>
      </w:pPr>
    </w:p>
    <w:p w:rsidR="00246BC3" w:rsidRPr="006B6F55" w:rsidRDefault="00246BC3" w:rsidP="000F0C83">
      <w:pPr>
        <w:jc w:val="both"/>
        <w:rPr>
          <w:rFonts w:ascii="Arial" w:hAnsi="Arial" w:cs="Arial"/>
          <w:sz w:val="22"/>
          <w:szCs w:val="22"/>
        </w:rPr>
      </w:pPr>
    </w:p>
    <w:p w:rsidR="00E4774E" w:rsidRPr="006B6F55" w:rsidRDefault="00CD457C" w:rsidP="000F0C83">
      <w:pPr>
        <w:jc w:val="both"/>
        <w:rPr>
          <w:rFonts w:ascii="Arial" w:hAnsi="Arial" w:cs="Arial"/>
          <w:sz w:val="22"/>
          <w:szCs w:val="22"/>
        </w:rPr>
      </w:pPr>
      <w:r>
        <w:rPr>
          <w:rFonts w:ascii="Arial" w:hAnsi="Arial" w:cs="Arial"/>
          <w:sz w:val="22"/>
          <w:szCs w:val="22"/>
        </w:rPr>
        <w:t>In Q2 2026, 77.9</w:t>
      </w:r>
      <w:r w:rsidR="00E4774E" w:rsidRPr="006B6F55">
        <w:rPr>
          <w:rFonts w:ascii="Arial" w:hAnsi="Arial" w:cs="Arial"/>
          <w:sz w:val="22"/>
          <w:szCs w:val="22"/>
        </w:rPr>
        <w:t xml:space="preserve"> percent</w:t>
      </w:r>
      <w:r>
        <w:rPr>
          <w:rFonts w:ascii="Arial" w:hAnsi="Arial" w:cs="Arial"/>
          <w:sz w:val="22"/>
          <w:szCs w:val="22"/>
        </w:rPr>
        <w:t xml:space="preserve"> (612,042 </w:t>
      </w:r>
      <w:r w:rsidR="000F0C83" w:rsidRPr="006B6F55">
        <w:rPr>
          <w:rFonts w:ascii="Arial" w:hAnsi="Arial" w:cs="Arial"/>
          <w:sz w:val="22"/>
          <w:szCs w:val="22"/>
        </w:rPr>
        <w:t>persons) of the total population were aged 15 years and above, constituting the working-ag</w:t>
      </w:r>
      <w:r w:rsidR="006D3FD9">
        <w:rPr>
          <w:rFonts w:ascii="Arial" w:hAnsi="Arial" w:cs="Arial"/>
          <w:sz w:val="22"/>
          <w:szCs w:val="22"/>
        </w:rPr>
        <w:t>e population. Of this, about 52</w:t>
      </w:r>
      <w:r>
        <w:rPr>
          <w:rFonts w:ascii="Arial" w:hAnsi="Arial" w:cs="Arial"/>
          <w:sz w:val="22"/>
          <w:szCs w:val="22"/>
        </w:rPr>
        <w:t>.3</w:t>
      </w:r>
      <w:r w:rsidR="006D3FD9">
        <w:rPr>
          <w:rFonts w:ascii="Arial" w:hAnsi="Arial" w:cs="Arial"/>
          <w:sz w:val="22"/>
          <w:szCs w:val="22"/>
        </w:rPr>
        <w:t xml:space="preserve"> percent</w:t>
      </w:r>
      <w:r w:rsidR="000F0C83" w:rsidRPr="006B6F55">
        <w:rPr>
          <w:rFonts w:ascii="Arial" w:hAnsi="Arial" w:cs="Arial"/>
          <w:sz w:val="22"/>
          <w:szCs w:val="22"/>
        </w:rPr>
        <w:t xml:space="preserve"> were male and </w:t>
      </w:r>
      <w:r w:rsidR="009839AD">
        <w:rPr>
          <w:rFonts w:ascii="Arial" w:hAnsi="Arial" w:cs="Arial"/>
          <w:sz w:val="22"/>
          <w:szCs w:val="22"/>
        </w:rPr>
        <w:t>47.7</w:t>
      </w:r>
      <w:r w:rsidR="00E4774E" w:rsidRPr="006B6F55">
        <w:rPr>
          <w:rFonts w:ascii="Arial" w:hAnsi="Arial" w:cs="Arial"/>
          <w:sz w:val="22"/>
          <w:szCs w:val="22"/>
        </w:rPr>
        <w:t xml:space="preserve"> percent female; 38 percent</w:t>
      </w:r>
      <w:r w:rsidR="000F0C83" w:rsidRPr="006B6F55">
        <w:rPr>
          <w:rFonts w:ascii="Arial" w:hAnsi="Arial" w:cs="Arial"/>
          <w:sz w:val="22"/>
          <w:szCs w:val="22"/>
        </w:rPr>
        <w:t xml:space="preserve"> resided in urban areas and 62</w:t>
      </w:r>
      <w:r w:rsidR="00E4774E" w:rsidRPr="006B6F55">
        <w:rPr>
          <w:rFonts w:ascii="Arial" w:hAnsi="Arial" w:cs="Arial"/>
          <w:sz w:val="22"/>
          <w:szCs w:val="22"/>
        </w:rPr>
        <w:t xml:space="preserve"> percent</w:t>
      </w:r>
      <w:r w:rsidR="009839AD">
        <w:rPr>
          <w:rFonts w:ascii="Arial" w:hAnsi="Arial" w:cs="Arial"/>
          <w:sz w:val="22"/>
          <w:szCs w:val="22"/>
        </w:rPr>
        <w:t xml:space="preserve"> in rural areas. A total of 398,192</w:t>
      </w:r>
      <w:r w:rsidR="000F0C83" w:rsidRPr="006B6F55">
        <w:rPr>
          <w:rFonts w:ascii="Arial" w:hAnsi="Arial" w:cs="Arial"/>
          <w:sz w:val="22"/>
          <w:szCs w:val="22"/>
        </w:rPr>
        <w:t xml:space="preserve"> individuals were economically active, wit</w:t>
      </w:r>
      <w:r w:rsidR="006D3FD9">
        <w:rPr>
          <w:rFonts w:ascii="Arial" w:hAnsi="Arial" w:cs="Arial"/>
          <w:sz w:val="22"/>
          <w:szCs w:val="22"/>
        </w:rPr>
        <w:t>h males accounting for about 59 percent</w:t>
      </w:r>
      <w:r w:rsidR="000F0C83" w:rsidRPr="006B6F55">
        <w:rPr>
          <w:rFonts w:ascii="Arial" w:hAnsi="Arial" w:cs="Arial"/>
          <w:sz w:val="22"/>
          <w:szCs w:val="22"/>
        </w:rPr>
        <w:t xml:space="preserve"> and females 41</w:t>
      </w:r>
      <w:r w:rsidR="00E4774E" w:rsidRPr="006B6F55">
        <w:rPr>
          <w:rFonts w:ascii="Arial" w:hAnsi="Arial" w:cs="Arial"/>
          <w:sz w:val="22"/>
          <w:szCs w:val="22"/>
        </w:rPr>
        <w:t xml:space="preserve"> percent</w:t>
      </w:r>
      <w:r w:rsidR="000F0C83" w:rsidRPr="006B6F55">
        <w:rPr>
          <w:rFonts w:ascii="Arial" w:hAnsi="Arial" w:cs="Arial"/>
          <w:sz w:val="22"/>
          <w:szCs w:val="22"/>
        </w:rPr>
        <w:t>. Economic activit</w:t>
      </w:r>
      <w:r w:rsidR="009839AD">
        <w:rPr>
          <w:rFonts w:ascii="Arial" w:hAnsi="Arial" w:cs="Arial"/>
          <w:sz w:val="22"/>
          <w:szCs w:val="22"/>
        </w:rPr>
        <w:t>y is higher in rural areas (65.6%) compared to urban areas (34.4</w:t>
      </w:r>
      <w:r w:rsidR="000F0C83" w:rsidRPr="006B6F55">
        <w:rPr>
          <w:rFonts w:ascii="Arial" w:hAnsi="Arial" w:cs="Arial"/>
          <w:sz w:val="22"/>
          <w:szCs w:val="22"/>
        </w:rPr>
        <w:t xml:space="preserve">%). The </w:t>
      </w:r>
      <w:proofErr w:type="spellStart"/>
      <w:r w:rsidR="000F0C83" w:rsidRPr="006B6F55">
        <w:rPr>
          <w:rFonts w:ascii="Arial" w:hAnsi="Arial" w:cs="Arial"/>
          <w:sz w:val="22"/>
          <w:szCs w:val="22"/>
        </w:rPr>
        <w:t>Labour</w:t>
      </w:r>
      <w:proofErr w:type="spellEnd"/>
      <w:r w:rsidR="000F0C83" w:rsidRPr="006B6F55">
        <w:rPr>
          <w:rFonts w:ascii="Arial" w:hAnsi="Arial" w:cs="Arial"/>
          <w:sz w:val="22"/>
          <w:szCs w:val="22"/>
        </w:rPr>
        <w:t xml:space="preserve"> Force Participation Rate (LFPR) the proportion of the working-age population that is eco</w:t>
      </w:r>
      <w:r w:rsidR="009839AD">
        <w:rPr>
          <w:rFonts w:ascii="Arial" w:hAnsi="Arial" w:cs="Arial"/>
          <w:sz w:val="22"/>
          <w:szCs w:val="22"/>
        </w:rPr>
        <w:t>nomically active stands at 65.1</w:t>
      </w:r>
      <w:r w:rsidR="00E4774E" w:rsidRPr="006B6F55">
        <w:rPr>
          <w:rFonts w:ascii="Arial" w:hAnsi="Arial" w:cs="Arial"/>
          <w:sz w:val="22"/>
          <w:szCs w:val="22"/>
        </w:rPr>
        <w:t xml:space="preserve"> percent in Q</w:t>
      </w:r>
      <w:r w:rsidR="009839AD">
        <w:rPr>
          <w:rFonts w:ascii="Arial" w:hAnsi="Arial" w:cs="Arial"/>
          <w:sz w:val="22"/>
          <w:szCs w:val="22"/>
        </w:rPr>
        <w:t>2</w:t>
      </w:r>
      <w:r w:rsidR="00E4774E" w:rsidRPr="006B6F55">
        <w:rPr>
          <w:rFonts w:ascii="Arial" w:hAnsi="Arial" w:cs="Arial"/>
          <w:sz w:val="22"/>
          <w:szCs w:val="22"/>
        </w:rPr>
        <w:t>, 2026</w:t>
      </w:r>
      <w:r w:rsidR="000F0C83" w:rsidRPr="006B6F55">
        <w:rPr>
          <w:rFonts w:ascii="Arial" w:hAnsi="Arial" w:cs="Arial"/>
          <w:sz w:val="22"/>
          <w:szCs w:val="22"/>
        </w:rPr>
        <w:t xml:space="preserve">. The </w:t>
      </w:r>
      <w:r w:rsidR="009839AD">
        <w:rPr>
          <w:rFonts w:ascii="Arial" w:hAnsi="Arial" w:cs="Arial"/>
          <w:sz w:val="22"/>
          <w:szCs w:val="22"/>
        </w:rPr>
        <w:t>rate is higher among males (73.5%) than females (55.8</w:t>
      </w:r>
      <w:r w:rsidR="000F0C83" w:rsidRPr="006B6F55">
        <w:rPr>
          <w:rFonts w:ascii="Arial" w:hAnsi="Arial" w:cs="Arial"/>
          <w:sz w:val="22"/>
          <w:szCs w:val="22"/>
        </w:rPr>
        <w:t>%),</w:t>
      </w:r>
      <w:r w:rsidR="009839AD">
        <w:rPr>
          <w:rFonts w:ascii="Arial" w:hAnsi="Arial" w:cs="Arial"/>
          <w:sz w:val="22"/>
          <w:szCs w:val="22"/>
        </w:rPr>
        <w:t xml:space="preserve"> and higher in rural areas (68.6</w:t>
      </w:r>
      <w:r w:rsidR="000F0C83" w:rsidRPr="006B6F55">
        <w:rPr>
          <w:rFonts w:ascii="Arial" w:hAnsi="Arial" w:cs="Arial"/>
          <w:sz w:val="22"/>
          <w:szCs w:val="22"/>
        </w:rPr>
        <w:t>%) than in urban a</w:t>
      </w:r>
      <w:r w:rsidR="009839AD">
        <w:rPr>
          <w:rFonts w:ascii="Arial" w:hAnsi="Arial" w:cs="Arial"/>
          <w:sz w:val="22"/>
          <w:szCs w:val="22"/>
        </w:rPr>
        <w:t>reas (59.2</w:t>
      </w:r>
      <w:r w:rsidR="000F0C83" w:rsidRPr="006B6F55">
        <w:rPr>
          <w:rFonts w:ascii="Arial" w:hAnsi="Arial" w:cs="Arial"/>
          <w:sz w:val="22"/>
          <w:szCs w:val="22"/>
        </w:rPr>
        <w:t>%) (Figure 1b).</w:t>
      </w:r>
    </w:p>
    <w:p w:rsidR="00E4774E" w:rsidRPr="006B6F55" w:rsidRDefault="00E4774E" w:rsidP="00E4774E">
      <w:pPr>
        <w:jc w:val="both"/>
        <w:rPr>
          <w:rFonts w:ascii="Arial" w:hAnsi="Arial" w:cs="Arial"/>
          <w:sz w:val="22"/>
          <w:szCs w:val="22"/>
        </w:rPr>
      </w:pPr>
      <w:r w:rsidRPr="006B6F55">
        <w:rPr>
          <w:rFonts w:ascii="Arial" w:hAnsi="Arial" w:cs="Arial"/>
          <w:sz w:val="22"/>
          <w:szCs w:val="22"/>
        </w:rPr>
        <w:t xml:space="preserve">The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Force Participation Rate (LFPR) remained broadly stable over the period, with a slight upward trend. It increased from</w:t>
      </w:r>
      <w:r w:rsidR="009839AD">
        <w:rPr>
          <w:rFonts w:ascii="Arial" w:hAnsi="Arial" w:cs="Arial"/>
          <w:sz w:val="22"/>
          <w:szCs w:val="22"/>
        </w:rPr>
        <w:t xml:space="preserve"> 63.9 percent in Q1 2024 to 65.1 percent in Q2</w:t>
      </w:r>
      <w:r w:rsidRPr="006B6F55">
        <w:rPr>
          <w:rFonts w:ascii="Arial" w:hAnsi="Arial" w:cs="Arial"/>
          <w:sz w:val="22"/>
          <w:szCs w:val="22"/>
        </w:rPr>
        <w:t xml:space="preserve"> 2026. On</w:t>
      </w:r>
      <w:r w:rsidR="009839AD">
        <w:rPr>
          <w:rFonts w:ascii="Arial" w:hAnsi="Arial" w:cs="Arial"/>
          <w:sz w:val="22"/>
          <w:szCs w:val="22"/>
        </w:rPr>
        <w:t xml:space="preserve"> a year-on-year basis, LFPR decreased by 0.2 percentage points from 65.3 percent in Q2 2025 to 65.1 percent in Q2</w:t>
      </w:r>
      <w:r w:rsidRPr="006B6F55">
        <w:rPr>
          <w:rFonts w:ascii="Arial" w:hAnsi="Arial" w:cs="Arial"/>
          <w:sz w:val="22"/>
          <w:szCs w:val="22"/>
        </w:rPr>
        <w:t xml:space="preserve"> 2026, while on a quarter-on-qu</w:t>
      </w:r>
      <w:r w:rsidR="009839AD">
        <w:rPr>
          <w:rFonts w:ascii="Arial" w:hAnsi="Arial" w:cs="Arial"/>
          <w:sz w:val="22"/>
          <w:szCs w:val="22"/>
        </w:rPr>
        <w:t>arter basis, it decreased by 0.3</w:t>
      </w:r>
      <w:r w:rsidRPr="006B6F55">
        <w:rPr>
          <w:rFonts w:ascii="Arial" w:hAnsi="Arial" w:cs="Arial"/>
          <w:sz w:val="22"/>
          <w:szCs w:val="22"/>
        </w:rPr>
        <w:t xml:space="preserve"> percentage point</w:t>
      </w:r>
      <w:r w:rsidR="009839AD">
        <w:rPr>
          <w:rFonts w:ascii="Arial" w:hAnsi="Arial" w:cs="Arial"/>
          <w:sz w:val="22"/>
          <w:szCs w:val="22"/>
        </w:rPr>
        <w:t>s from 65.4 percent in Q1 2026</w:t>
      </w:r>
      <w:r w:rsidRPr="006B6F55">
        <w:rPr>
          <w:rFonts w:ascii="Arial" w:hAnsi="Arial" w:cs="Arial"/>
          <w:sz w:val="22"/>
          <w:szCs w:val="22"/>
        </w:rPr>
        <w:t>.</w:t>
      </w:r>
      <w:r w:rsidR="009839AD">
        <w:rPr>
          <w:rFonts w:ascii="Arial" w:hAnsi="Arial" w:cs="Arial"/>
          <w:sz w:val="22"/>
          <w:szCs w:val="22"/>
        </w:rPr>
        <w:t xml:space="preserve"> The differences are not statistically significant.</w:t>
      </w:r>
    </w:p>
    <w:p w:rsidR="00E4774E" w:rsidRPr="006B6F55" w:rsidRDefault="00E4774E" w:rsidP="00E4774E">
      <w:pPr>
        <w:jc w:val="both"/>
        <w:rPr>
          <w:rFonts w:ascii="Arial" w:hAnsi="Arial" w:cs="Arial"/>
          <w:sz w:val="22"/>
          <w:szCs w:val="22"/>
        </w:rPr>
      </w:pPr>
      <w:r w:rsidRPr="006B6F55">
        <w:rPr>
          <w:rFonts w:ascii="Arial" w:hAnsi="Arial" w:cs="Arial"/>
          <w:sz w:val="22"/>
          <w:szCs w:val="22"/>
        </w:rPr>
        <w:t>Disaggregated by sex, LFPR trends indicate that male participation remained consistently higher than female participation throughout the period, with only minor fluctuations. Female participation, while lower, shows a gradual improving trend over time, suggesting a modest narrowing of the gender gap</w:t>
      </w:r>
      <w:r w:rsidR="00246BC3" w:rsidRPr="006B6F55">
        <w:rPr>
          <w:rFonts w:ascii="Arial" w:hAnsi="Arial" w:cs="Arial"/>
          <w:sz w:val="22"/>
          <w:szCs w:val="22"/>
        </w:rPr>
        <w:t xml:space="preserve"> (Figure1a).</w:t>
      </w:r>
    </w:p>
    <w:p w:rsidR="00246BC3" w:rsidRPr="006B6F55" w:rsidRDefault="00246BC3" w:rsidP="00E4774E">
      <w:pPr>
        <w:jc w:val="both"/>
        <w:rPr>
          <w:rFonts w:ascii="Arial" w:hAnsi="Arial" w:cs="Arial"/>
          <w:sz w:val="22"/>
          <w:szCs w:val="22"/>
        </w:rPr>
      </w:pPr>
      <w:r w:rsidRPr="006B6F55">
        <w:rPr>
          <w:rFonts w:ascii="Arial" w:hAnsi="Arial" w:cs="Arial"/>
          <w:sz w:val="22"/>
          <w:szCs w:val="22"/>
        </w:rPr>
        <w:t>By area, LFPR in rural areas remained higher than in urban areas across all quarters. While both areas exhibit some fluctuations, the overall trend suggests stable participation with a slight improvement over time, particularly in urban areas (Figure 1b).</w:t>
      </w:r>
    </w:p>
    <w:p w:rsidR="000F0C83" w:rsidRPr="006B6F55" w:rsidRDefault="006E015C" w:rsidP="000F0C83">
      <w:pPr>
        <w:tabs>
          <w:tab w:val="left" w:pos="1200"/>
        </w:tabs>
        <w:rPr>
          <w:rFonts w:ascii="Arial" w:hAnsi="Arial" w:cs="Arial"/>
          <w:sz w:val="22"/>
          <w:szCs w:val="22"/>
        </w:rPr>
      </w:pPr>
      <w:r>
        <w:rPr>
          <w:rFonts w:ascii="Arial" w:hAnsi="Arial" w:cs="Arial"/>
          <w:noProof/>
          <w:sz w:val="22"/>
          <w:szCs w:val="22"/>
          <w:lang w:bidi="dz-BT"/>
        </w:rPr>
        <w:drawing>
          <wp:inline distT="0" distB="0" distL="0" distR="0" wp14:anchorId="03406F2B">
            <wp:extent cx="6577965" cy="239781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0186" cy="2413206"/>
                    </a:xfrm>
                    <a:prstGeom prst="rect">
                      <a:avLst/>
                    </a:prstGeom>
                    <a:noFill/>
                  </pic:spPr>
                </pic:pic>
              </a:graphicData>
            </a:graphic>
          </wp:inline>
        </w:drawing>
      </w:r>
    </w:p>
    <w:p w:rsidR="00246BC3" w:rsidRPr="006B6F55" w:rsidRDefault="003322F1" w:rsidP="000F0C83">
      <w:pPr>
        <w:tabs>
          <w:tab w:val="left" w:pos="1200"/>
        </w:tabs>
        <w:rPr>
          <w:rFonts w:ascii="Arial" w:hAnsi="Arial" w:cs="Arial"/>
          <w:sz w:val="22"/>
          <w:szCs w:val="22"/>
        </w:rPr>
      </w:pPr>
      <w:r w:rsidRPr="006B6F55">
        <w:rPr>
          <w:rFonts w:ascii="Arial" w:hAnsi="Arial" w:cs="Arial"/>
          <w:noProof/>
          <w:color w:val="365F91" w:themeColor="accent1" w:themeShade="BF"/>
          <w:sz w:val="22"/>
          <w:szCs w:val="22"/>
          <w:lang w:bidi="dz-BT"/>
        </w:rPr>
        <mc:AlternateContent>
          <mc:Choice Requires="wps">
            <w:drawing>
              <wp:anchor distT="0" distB="0" distL="114300" distR="114300" simplePos="0" relativeHeight="251674624" behindDoc="0" locked="0" layoutInCell="1" allowOverlap="1" wp14:anchorId="36DC136D" wp14:editId="33E20248">
                <wp:simplePos x="0" y="0"/>
                <wp:positionH relativeFrom="margin">
                  <wp:align>right</wp:align>
                </wp:positionH>
                <wp:positionV relativeFrom="paragraph">
                  <wp:posOffset>154305</wp:posOffset>
                </wp:positionV>
                <wp:extent cx="5949950" cy="450850"/>
                <wp:effectExtent l="0" t="0" r="0" b="6350"/>
                <wp:wrapNone/>
                <wp:docPr id="645717294" name="Text Box 645717294"/>
                <wp:cNvGraphicFramePr/>
                <a:graphic xmlns:a="http://schemas.openxmlformats.org/drawingml/2006/main">
                  <a:graphicData uri="http://schemas.microsoft.com/office/word/2010/wordprocessingShape">
                    <wps:wsp>
                      <wps:cNvSpPr txBox="1"/>
                      <wps:spPr>
                        <a:xfrm>
                          <a:off x="0" y="0"/>
                          <a:ext cx="5949950" cy="450850"/>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015C" w:rsidRPr="00246BC3" w:rsidRDefault="006E015C" w:rsidP="00246BC3">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bCs/>
                                <w:color w:val="FFFFFF" w:themeColor="background1"/>
                              </w:rPr>
                              <w:t>I</w:t>
                            </w:r>
                            <w:r w:rsidRPr="00246BC3">
                              <w:rPr>
                                <w:rFonts w:ascii="Arial" w:hAnsi="Arial" w:cs="Arial"/>
                                <w:b/>
                                <w:bCs/>
                                <w:color w:val="FFFFFF" w:themeColor="background1"/>
                              </w:rPr>
                              <w:t xml:space="preserve">I. </w:t>
                            </w:r>
                            <w:r w:rsidR="00436FB0" w:rsidRPr="00436FB0">
                              <w:rPr>
                                <w:rFonts w:ascii="Arial" w:hAnsi="Arial" w:cs="Arial"/>
                                <w:b/>
                                <w:bCs/>
                                <w:color w:val="FFFFFF" w:themeColor="background1"/>
                              </w:rPr>
                              <w:t xml:space="preserve">Education and family responsibilities continue to be the main reasons for being outside the </w:t>
                            </w:r>
                            <w:proofErr w:type="spellStart"/>
                            <w:r w:rsidR="00436FB0" w:rsidRPr="00436FB0">
                              <w:rPr>
                                <w:rFonts w:ascii="Arial" w:hAnsi="Arial" w:cs="Arial"/>
                                <w:b/>
                                <w:bCs/>
                                <w:color w:val="FFFFFF" w:themeColor="background1"/>
                              </w:rPr>
                              <w:t>labour</w:t>
                            </w:r>
                            <w:proofErr w:type="spellEnd"/>
                            <w:r w:rsidR="00436FB0" w:rsidRPr="00436FB0">
                              <w:rPr>
                                <w:rFonts w:ascii="Arial" w:hAnsi="Arial" w:cs="Arial"/>
                                <w:b/>
                                <w:bCs/>
                                <w:color w:val="FFFFFF" w:themeColor="background1"/>
                              </w:rPr>
                              <w:t xml:space="preserve"> force.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C136D" id="Text Box 645717294" o:spid="_x0000_s1028" type="#_x0000_t202" style="position:absolute;margin-left:417.3pt;margin-top:12.15pt;width:468.5pt;height:35.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" fillcolor="#0070c0" stroked="f" strokeweight=".5pt">
                <v:textbox>
                  <w:txbxContent>
                    <w:p w:rsidR="006E015C" w:rsidRPr="00246BC3" w:rsidRDefault="006E015C" w:rsidP="00246BC3">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bCs/>
                          <w:color w:val="FFFFFF" w:themeColor="background1"/>
                        </w:rPr>
                        <w:t>I</w:t>
                      </w:r>
                      <w:r w:rsidRPr="00246BC3">
                        <w:rPr>
                          <w:rFonts w:ascii="Arial" w:hAnsi="Arial" w:cs="Arial"/>
                          <w:b/>
                          <w:bCs/>
                          <w:color w:val="FFFFFF" w:themeColor="background1"/>
                        </w:rPr>
                        <w:t xml:space="preserve">I. </w:t>
                      </w:r>
                      <w:r w:rsidR="00436FB0" w:rsidRPr="00436FB0">
                        <w:rPr>
                          <w:rFonts w:ascii="Arial" w:hAnsi="Arial" w:cs="Arial"/>
                          <w:b/>
                          <w:bCs/>
                          <w:color w:val="FFFFFF" w:themeColor="background1"/>
                        </w:rPr>
                        <w:t xml:space="preserve">Education and family responsibilities continue to be the main reasons for being outside the </w:t>
                      </w:r>
                      <w:proofErr w:type="spellStart"/>
                      <w:r w:rsidR="00436FB0" w:rsidRPr="00436FB0">
                        <w:rPr>
                          <w:rFonts w:ascii="Arial" w:hAnsi="Arial" w:cs="Arial"/>
                          <w:b/>
                          <w:bCs/>
                          <w:color w:val="FFFFFF" w:themeColor="background1"/>
                        </w:rPr>
                        <w:t>labour</w:t>
                      </w:r>
                      <w:proofErr w:type="spellEnd"/>
                      <w:r w:rsidR="00436FB0" w:rsidRPr="00436FB0">
                        <w:rPr>
                          <w:rFonts w:ascii="Arial" w:hAnsi="Arial" w:cs="Arial"/>
                          <w:b/>
                          <w:bCs/>
                          <w:color w:val="FFFFFF" w:themeColor="background1"/>
                        </w:rPr>
                        <w:t xml:space="preserve"> force.</w:t>
                      </w:r>
                    </w:p>
                  </w:txbxContent>
                </v:textbox>
                <w10:wrap anchorx="margin"/>
              </v:shape>
            </w:pict>
          </mc:Fallback>
        </mc:AlternateContent>
      </w:r>
    </w:p>
    <w:p w:rsidR="00246BC3" w:rsidRDefault="00246BC3" w:rsidP="00246BC3">
      <w:pPr>
        <w:jc w:val="both"/>
        <w:rPr>
          <w:rFonts w:ascii="Arial" w:hAnsi="Arial" w:cs="Arial"/>
          <w:sz w:val="22"/>
          <w:szCs w:val="22"/>
        </w:rPr>
      </w:pPr>
    </w:p>
    <w:p w:rsidR="00F30E78" w:rsidRPr="006B6F55" w:rsidRDefault="009839AD" w:rsidP="00F30E78">
      <w:pPr>
        <w:jc w:val="both"/>
        <w:rPr>
          <w:rFonts w:ascii="Arial" w:hAnsi="Arial" w:cs="Arial"/>
          <w:sz w:val="22"/>
          <w:szCs w:val="22"/>
        </w:rPr>
      </w:pPr>
      <w:r>
        <w:rPr>
          <w:rFonts w:ascii="Arial" w:hAnsi="Arial" w:cs="Arial"/>
          <w:sz w:val="22"/>
          <w:szCs w:val="22"/>
        </w:rPr>
        <w:lastRenderedPageBreak/>
        <w:t>In Q2</w:t>
      </w:r>
      <w:r w:rsidR="00F30E78" w:rsidRPr="006B6F55">
        <w:rPr>
          <w:rFonts w:ascii="Arial" w:hAnsi="Arial" w:cs="Arial"/>
          <w:sz w:val="22"/>
          <w:szCs w:val="22"/>
        </w:rPr>
        <w:t xml:space="preserve"> 2026, the proportion of persons ou</w:t>
      </w:r>
      <w:r>
        <w:rPr>
          <w:rFonts w:ascii="Arial" w:hAnsi="Arial" w:cs="Arial"/>
          <w:sz w:val="22"/>
          <w:szCs w:val="22"/>
        </w:rPr>
        <w:t xml:space="preserve">tside the </w:t>
      </w:r>
      <w:proofErr w:type="spellStart"/>
      <w:r>
        <w:rPr>
          <w:rFonts w:ascii="Arial" w:hAnsi="Arial" w:cs="Arial"/>
          <w:sz w:val="22"/>
          <w:szCs w:val="22"/>
        </w:rPr>
        <w:t>labour</w:t>
      </w:r>
      <w:proofErr w:type="spellEnd"/>
      <w:r>
        <w:rPr>
          <w:rFonts w:ascii="Arial" w:hAnsi="Arial" w:cs="Arial"/>
          <w:sz w:val="22"/>
          <w:szCs w:val="22"/>
        </w:rPr>
        <w:t xml:space="preserve"> force increased by 0.</w:t>
      </w:r>
      <w:r w:rsidR="004A1700">
        <w:rPr>
          <w:rFonts w:ascii="Arial" w:hAnsi="Arial" w:cs="Arial"/>
          <w:sz w:val="22"/>
          <w:szCs w:val="22"/>
        </w:rPr>
        <w:t>3</w:t>
      </w:r>
      <w:r w:rsidR="00F30E78" w:rsidRPr="006B6F55">
        <w:rPr>
          <w:rFonts w:ascii="Arial" w:hAnsi="Arial" w:cs="Arial"/>
          <w:sz w:val="22"/>
          <w:szCs w:val="22"/>
        </w:rPr>
        <w:t xml:space="preserve"> percentage points compared to the previous quarter. On a year-on-year basis, the </w:t>
      </w:r>
      <w:r>
        <w:rPr>
          <w:rFonts w:ascii="Arial" w:hAnsi="Arial" w:cs="Arial"/>
          <w:sz w:val="22"/>
          <w:szCs w:val="22"/>
        </w:rPr>
        <w:t xml:space="preserve">inactivity rate increased by 0.2 </w:t>
      </w:r>
      <w:r w:rsidR="004A1700">
        <w:rPr>
          <w:rFonts w:ascii="Arial" w:hAnsi="Arial" w:cs="Arial"/>
          <w:sz w:val="22"/>
          <w:szCs w:val="22"/>
        </w:rPr>
        <w:t>percentage points, from 34.7 percent in Q2 2025 to 34.9</w:t>
      </w:r>
      <w:r w:rsidR="00F30E78" w:rsidRPr="006B6F55">
        <w:rPr>
          <w:rFonts w:ascii="Arial" w:hAnsi="Arial" w:cs="Arial"/>
          <w:sz w:val="22"/>
          <w:szCs w:val="22"/>
        </w:rPr>
        <w:t xml:space="preserve"> percent. </w:t>
      </w:r>
    </w:p>
    <w:p w:rsidR="00F30E78" w:rsidRPr="006B6F55" w:rsidRDefault="00F30E78" w:rsidP="00F30E78">
      <w:pPr>
        <w:jc w:val="both"/>
        <w:rPr>
          <w:rFonts w:ascii="Arial" w:hAnsi="Arial" w:cs="Arial"/>
          <w:sz w:val="22"/>
          <w:szCs w:val="22"/>
        </w:rPr>
      </w:pPr>
      <w:r w:rsidRPr="006B6F55">
        <w:rPr>
          <w:rFonts w:ascii="Arial" w:hAnsi="Arial" w:cs="Arial"/>
          <w:sz w:val="22"/>
          <w:szCs w:val="22"/>
        </w:rPr>
        <w:t>The inactivity rate rem</w:t>
      </w:r>
      <w:r w:rsidR="004A1700">
        <w:rPr>
          <w:rFonts w:ascii="Arial" w:hAnsi="Arial" w:cs="Arial"/>
          <w:sz w:val="22"/>
          <w:szCs w:val="22"/>
        </w:rPr>
        <w:t>ains higher in urban areas (40.8%) than in rural areas (31.4</w:t>
      </w:r>
      <w:r w:rsidRPr="006B6F55">
        <w:rPr>
          <w:rFonts w:ascii="Arial" w:hAnsi="Arial" w:cs="Arial"/>
          <w:sz w:val="22"/>
          <w:szCs w:val="22"/>
        </w:rPr>
        <w:t>%). A significant gender disparity persists</w:t>
      </w:r>
      <w:r w:rsidR="004A1700">
        <w:rPr>
          <w:rFonts w:ascii="Arial" w:hAnsi="Arial" w:cs="Arial"/>
          <w:sz w:val="22"/>
          <w:szCs w:val="22"/>
        </w:rPr>
        <w:t>, with female inactivity at 44.2</w:t>
      </w:r>
      <w:r w:rsidRPr="006B6F55">
        <w:rPr>
          <w:rFonts w:ascii="Arial" w:hAnsi="Arial" w:cs="Arial"/>
          <w:sz w:val="22"/>
          <w:szCs w:val="22"/>
        </w:rPr>
        <w:t xml:space="preserve"> percent-18.0 percentage points h</w:t>
      </w:r>
      <w:r w:rsidR="004A1700">
        <w:rPr>
          <w:rFonts w:ascii="Arial" w:hAnsi="Arial" w:cs="Arial"/>
          <w:sz w:val="22"/>
          <w:szCs w:val="22"/>
        </w:rPr>
        <w:t>igher than the male rate of 26.5</w:t>
      </w:r>
      <w:r w:rsidRPr="006B6F55">
        <w:rPr>
          <w:rFonts w:ascii="Arial" w:hAnsi="Arial" w:cs="Arial"/>
          <w:sz w:val="22"/>
          <w:szCs w:val="22"/>
        </w:rPr>
        <w:t xml:space="preserve"> percent-reflecting continued gaps in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force participation (Figure 2a).</w:t>
      </w:r>
    </w:p>
    <w:p w:rsidR="00F30E78" w:rsidRPr="006B6F55" w:rsidRDefault="00F30E78" w:rsidP="00246BC3">
      <w:pPr>
        <w:jc w:val="both"/>
        <w:rPr>
          <w:rFonts w:ascii="Arial" w:hAnsi="Arial" w:cs="Arial"/>
          <w:sz w:val="22"/>
          <w:szCs w:val="22"/>
        </w:rPr>
      </w:pPr>
      <w:r w:rsidRPr="006B6F55">
        <w:rPr>
          <w:rFonts w:ascii="Arial" w:hAnsi="Arial" w:cs="Arial"/>
          <w:sz w:val="22"/>
          <w:szCs w:val="22"/>
        </w:rPr>
        <w:t xml:space="preserve">As in the previous quarter, education and family responsibilities remain the main reasons for being outside the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force. Most males reported studies or training as their primary reason, while females predominantly cited household and family duties, underscoring a persistent gender divide in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force non-parti</w:t>
      </w:r>
      <w:r w:rsidR="00C33067">
        <w:rPr>
          <w:rFonts w:ascii="Arial" w:hAnsi="Arial" w:cs="Arial"/>
          <w:sz w:val="22"/>
          <w:szCs w:val="22"/>
        </w:rPr>
        <w:t>cipation. Additionally, about 17</w:t>
      </w:r>
      <w:r w:rsidRPr="006B6F55">
        <w:rPr>
          <w:rFonts w:ascii="Arial" w:hAnsi="Arial" w:cs="Arial"/>
          <w:sz w:val="22"/>
          <w:szCs w:val="22"/>
        </w:rPr>
        <w:t xml:space="preserve"> percent of those outside the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force reported retirement or pension as their reason (Figure 2b).</w:t>
      </w:r>
    </w:p>
    <w:p w:rsidR="00246BC3" w:rsidRPr="006B6F55" w:rsidRDefault="0010169A" w:rsidP="000F0C83">
      <w:pPr>
        <w:tabs>
          <w:tab w:val="left" w:pos="1200"/>
        </w:tabs>
        <w:rPr>
          <w:rFonts w:ascii="Arial" w:hAnsi="Arial" w:cs="Arial"/>
          <w:sz w:val="22"/>
          <w:szCs w:val="22"/>
        </w:rPr>
      </w:pPr>
      <w:r>
        <w:rPr>
          <w:rFonts w:ascii="Arial" w:hAnsi="Arial" w:cs="Arial"/>
          <w:noProof/>
          <w:sz w:val="22"/>
          <w:szCs w:val="22"/>
          <w:lang w:bidi="dz-BT"/>
        </w:rPr>
        <w:drawing>
          <wp:inline distT="0" distB="0" distL="0" distR="0" wp14:anchorId="5740E534">
            <wp:extent cx="6000115" cy="2483049"/>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5680" cy="2485352"/>
                    </a:xfrm>
                    <a:prstGeom prst="rect">
                      <a:avLst/>
                    </a:prstGeom>
                    <a:noFill/>
                  </pic:spPr>
                </pic:pic>
              </a:graphicData>
            </a:graphic>
          </wp:inline>
        </w:drawing>
      </w:r>
    </w:p>
    <w:p w:rsidR="005C4DF2" w:rsidRPr="006B6F55" w:rsidRDefault="003322F1" w:rsidP="000F0C83">
      <w:pPr>
        <w:tabs>
          <w:tab w:val="left" w:pos="1200"/>
        </w:tabs>
        <w:rPr>
          <w:rFonts w:ascii="Arial" w:hAnsi="Arial" w:cs="Arial"/>
          <w:sz w:val="22"/>
          <w:szCs w:val="22"/>
        </w:rPr>
      </w:pPr>
      <w:r w:rsidRPr="006B6F55">
        <w:rPr>
          <w:rFonts w:ascii="Arial" w:hAnsi="Arial" w:cs="Arial"/>
          <w:noProof/>
          <w:color w:val="365F91" w:themeColor="accent1" w:themeShade="BF"/>
          <w:sz w:val="22"/>
          <w:szCs w:val="22"/>
          <w:lang w:bidi="dz-BT"/>
        </w:rPr>
        <mc:AlternateContent>
          <mc:Choice Requires="wps">
            <w:drawing>
              <wp:anchor distT="0" distB="0" distL="114300" distR="114300" simplePos="0" relativeHeight="251676672" behindDoc="0" locked="0" layoutInCell="1" allowOverlap="1" wp14:anchorId="13F7CAE6" wp14:editId="242F980C">
                <wp:simplePos x="0" y="0"/>
                <wp:positionH relativeFrom="margin">
                  <wp:align>right</wp:align>
                </wp:positionH>
                <wp:positionV relativeFrom="paragraph">
                  <wp:posOffset>6350</wp:posOffset>
                </wp:positionV>
                <wp:extent cx="5937250" cy="508000"/>
                <wp:effectExtent l="0" t="0" r="6350" b="6350"/>
                <wp:wrapNone/>
                <wp:docPr id="17" name="Text Box 17"/>
                <wp:cNvGraphicFramePr/>
                <a:graphic xmlns:a="http://schemas.openxmlformats.org/drawingml/2006/main">
                  <a:graphicData uri="http://schemas.microsoft.com/office/word/2010/wordprocessingShape">
                    <wps:wsp>
                      <wps:cNvSpPr txBox="1"/>
                      <wps:spPr>
                        <a:xfrm>
                          <a:off x="0" y="0"/>
                          <a:ext cx="5937250" cy="508000"/>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E015C" w:rsidRPr="005C4DF2" w:rsidRDefault="006E015C" w:rsidP="005C4DF2">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C4DF2">
                              <w:rPr>
                                <w:rFonts w:ascii="Arial" w:hAnsi="Arial" w:cs="Arial"/>
                                <w:b/>
                                <w:bCs/>
                                <w:color w:val="FFFFFF" w:themeColor="background1"/>
                              </w:rPr>
                              <w:t xml:space="preserve">III. </w:t>
                            </w:r>
                            <w:r w:rsidR="006E1138" w:rsidRPr="006E1138">
                              <w:rPr>
                                <w:rFonts w:ascii="Arial" w:hAnsi="Arial" w:cs="Arial"/>
                                <w:b/>
                                <w:bCs/>
                                <w:color w:val="FFFFFF" w:themeColor="background1"/>
                              </w:rPr>
                              <w:t>Employment rate remains consistent across quarters, with no statistically significant change observed.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7CAE6" id="Text Box 17" o:spid="_x0000_s1029" type="#_x0000_t202" style="position:absolute;margin-left:416.3pt;margin-top:.5pt;width:467.5pt;height:40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" fillcolor="#0070c0" stroked="f" strokeweight=".5pt">
                <v:textbox>
                  <w:txbxContent>
                    <w:p w:rsidR="006E015C" w:rsidRPr="005C4DF2" w:rsidRDefault="006E015C" w:rsidP="005C4DF2">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C4DF2">
                        <w:rPr>
                          <w:rFonts w:ascii="Arial" w:hAnsi="Arial" w:cs="Arial"/>
                          <w:b/>
                          <w:bCs/>
                          <w:color w:val="FFFFFF" w:themeColor="background1"/>
                        </w:rPr>
                        <w:t xml:space="preserve">III. </w:t>
                      </w:r>
                      <w:r w:rsidR="006E1138" w:rsidRPr="006E1138">
                        <w:rPr>
                          <w:rFonts w:ascii="Arial" w:hAnsi="Arial" w:cs="Arial"/>
                          <w:b/>
                          <w:bCs/>
                          <w:color w:val="FFFFFF" w:themeColor="background1"/>
                        </w:rPr>
                        <w:t>Employment rate remains consistent across quarters, with no statistically significant change observed.</w:t>
                      </w:r>
                    </w:p>
                  </w:txbxContent>
                </v:textbox>
                <w10:wrap anchorx="margin"/>
              </v:shape>
            </w:pict>
          </mc:Fallback>
        </mc:AlternateContent>
      </w:r>
    </w:p>
    <w:p w:rsidR="005C4DF2" w:rsidRPr="006B6F55" w:rsidRDefault="005C4DF2" w:rsidP="000F0C83">
      <w:pPr>
        <w:tabs>
          <w:tab w:val="left" w:pos="1200"/>
        </w:tabs>
        <w:rPr>
          <w:rFonts w:ascii="Arial" w:hAnsi="Arial" w:cs="Arial"/>
          <w:sz w:val="22"/>
          <w:szCs w:val="22"/>
        </w:rPr>
      </w:pPr>
    </w:p>
    <w:p w:rsidR="005C4DF2" w:rsidRPr="006B6F55" w:rsidRDefault="004A1700" w:rsidP="005C4DF2">
      <w:pPr>
        <w:jc w:val="both"/>
        <w:rPr>
          <w:rFonts w:ascii="Arial" w:hAnsi="Arial" w:cs="Arial"/>
          <w:sz w:val="22"/>
          <w:szCs w:val="22"/>
        </w:rPr>
      </w:pPr>
      <w:r>
        <w:rPr>
          <w:rFonts w:ascii="Arial" w:hAnsi="Arial" w:cs="Arial"/>
          <w:sz w:val="22"/>
          <w:szCs w:val="22"/>
        </w:rPr>
        <w:t>In Quarter 2</w:t>
      </w:r>
      <w:r w:rsidR="005C4DF2" w:rsidRPr="006B6F55">
        <w:rPr>
          <w:rFonts w:ascii="Arial" w:hAnsi="Arial" w:cs="Arial"/>
          <w:sz w:val="22"/>
          <w:szCs w:val="22"/>
        </w:rPr>
        <w:t>, 2026, the overal</w:t>
      </w:r>
      <w:r>
        <w:rPr>
          <w:rFonts w:ascii="Arial" w:hAnsi="Arial" w:cs="Arial"/>
          <w:sz w:val="22"/>
          <w:szCs w:val="22"/>
        </w:rPr>
        <w:t>l employment rate stands at 97.3</w:t>
      </w:r>
      <w:r w:rsidR="006B6F55">
        <w:rPr>
          <w:rFonts w:ascii="Arial" w:hAnsi="Arial" w:cs="Arial"/>
          <w:sz w:val="22"/>
          <w:szCs w:val="22"/>
        </w:rPr>
        <w:t xml:space="preserve"> percent</w:t>
      </w:r>
      <w:r w:rsidR="005C4DF2" w:rsidRPr="006B6F55">
        <w:rPr>
          <w:rFonts w:ascii="Arial" w:hAnsi="Arial" w:cs="Arial"/>
          <w:sz w:val="22"/>
          <w:szCs w:val="22"/>
        </w:rPr>
        <w:t>, sho</w:t>
      </w:r>
      <w:r>
        <w:rPr>
          <w:rFonts w:ascii="Arial" w:hAnsi="Arial" w:cs="Arial"/>
          <w:sz w:val="22"/>
          <w:szCs w:val="22"/>
        </w:rPr>
        <w:t>wing a slight increase from 96.6</w:t>
      </w:r>
      <w:r w:rsidR="006B6F55">
        <w:rPr>
          <w:rFonts w:ascii="Arial" w:hAnsi="Arial" w:cs="Arial"/>
          <w:sz w:val="22"/>
          <w:szCs w:val="22"/>
        </w:rPr>
        <w:t xml:space="preserve"> percent</w:t>
      </w:r>
      <w:r w:rsidR="005C4DF2" w:rsidRPr="006B6F55">
        <w:rPr>
          <w:rFonts w:ascii="Arial" w:hAnsi="Arial" w:cs="Arial"/>
          <w:sz w:val="22"/>
          <w:szCs w:val="22"/>
        </w:rPr>
        <w:t xml:space="preserve"> in the previous quarter. Compared to the same quarter last year, the rate is also slightly higher, reflecting minor fluctuations in employment.</w:t>
      </w:r>
    </w:p>
    <w:p w:rsidR="005C4DF2" w:rsidRPr="006B6F55" w:rsidRDefault="005C4DF2" w:rsidP="005C4DF2">
      <w:pPr>
        <w:spacing w:after="0"/>
        <w:jc w:val="both"/>
        <w:rPr>
          <w:rFonts w:ascii="Arial" w:hAnsi="Arial" w:cs="Arial"/>
          <w:sz w:val="22"/>
          <w:szCs w:val="22"/>
        </w:rPr>
      </w:pPr>
      <w:r w:rsidRPr="006B6F55">
        <w:rPr>
          <w:rFonts w:ascii="Arial" w:hAnsi="Arial" w:cs="Arial"/>
          <w:sz w:val="22"/>
          <w:szCs w:val="22"/>
        </w:rPr>
        <w:t>Th</w:t>
      </w:r>
      <w:r w:rsidR="0010169A">
        <w:rPr>
          <w:rFonts w:ascii="Arial" w:hAnsi="Arial" w:cs="Arial"/>
          <w:sz w:val="22"/>
          <w:szCs w:val="22"/>
        </w:rPr>
        <w:t>e employment rate stands at 98.1</w:t>
      </w:r>
      <w:r w:rsidR="006B6F55">
        <w:rPr>
          <w:rFonts w:ascii="Arial" w:hAnsi="Arial" w:cs="Arial"/>
          <w:sz w:val="22"/>
          <w:szCs w:val="22"/>
        </w:rPr>
        <w:t xml:space="preserve"> percent</w:t>
      </w:r>
      <w:r w:rsidRPr="006B6F55">
        <w:rPr>
          <w:rFonts w:ascii="Arial" w:hAnsi="Arial" w:cs="Arial"/>
          <w:sz w:val="22"/>
          <w:szCs w:val="22"/>
        </w:rPr>
        <w:t xml:space="preserve"> for males and </w:t>
      </w:r>
      <w:r w:rsidR="00FC6928" w:rsidRPr="006B6F55">
        <w:rPr>
          <w:rFonts w:ascii="Arial" w:hAnsi="Arial" w:cs="Arial"/>
          <w:sz w:val="22"/>
          <w:szCs w:val="22"/>
        </w:rPr>
        <w:t>96</w:t>
      </w:r>
      <w:r w:rsidRPr="006B6F55">
        <w:rPr>
          <w:rFonts w:ascii="Arial" w:hAnsi="Arial" w:cs="Arial"/>
          <w:sz w:val="22"/>
          <w:szCs w:val="22"/>
        </w:rPr>
        <w:t>.</w:t>
      </w:r>
      <w:r w:rsidR="0010169A">
        <w:rPr>
          <w:rFonts w:ascii="Arial" w:hAnsi="Arial" w:cs="Arial"/>
          <w:sz w:val="22"/>
          <w:szCs w:val="22"/>
        </w:rPr>
        <w:t>3</w:t>
      </w:r>
      <w:r w:rsidR="006B6F55">
        <w:rPr>
          <w:rFonts w:ascii="Arial" w:hAnsi="Arial" w:cs="Arial"/>
          <w:sz w:val="22"/>
          <w:szCs w:val="22"/>
        </w:rPr>
        <w:t xml:space="preserve"> percent</w:t>
      </w:r>
      <w:r w:rsidRPr="006B6F55">
        <w:rPr>
          <w:rFonts w:ascii="Arial" w:hAnsi="Arial" w:cs="Arial"/>
          <w:sz w:val="22"/>
          <w:szCs w:val="22"/>
        </w:rPr>
        <w:t xml:space="preserve"> for females. By ar</w:t>
      </w:r>
      <w:r w:rsidR="0010169A">
        <w:rPr>
          <w:rFonts w:ascii="Arial" w:hAnsi="Arial" w:cs="Arial"/>
          <w:sz w:val="22"/>
          <w:szCs w:val="22"/>
        </w:rPr>
        <w:t>ea of residence, the urban (94.5</w:t>
      </w:r>
      <w:r w:rsidRPr="006B6F55">
        <w:rPr>
          <w:rFonts w:ascii="Arial" w:hAnsi="Arial" w:cs="Arial"/>
          <w:sz w:val="22"/>
          <w:szCs w:val="22"/>
        </w:rPr>
        <w:t>%) employment rate is lo</w:t>
      </w:r>
      <w:r w:rsidR="00FC6928" w:rsidRPr="006B6F55">
        <w:rPr>
          <w:rFonts w:ascii="Arial" w:hAnsi="Arial" w:cs="Arial"/>
          <w:sz w:val="22"/>
          <w:szCs w:val="22"/>
        </w:rPr>
        <w:t xml:space="preserve">wer than that of </w:t>
      </w:r>
      <w:r w:rsidR="0010169A">
        <w:rPr>
          <w:rFonts w:ascii="Arial" w:hAnsi="Arial" w:cs="Arial"/>
          <w:sz w:val="22"/>
          <w:szCs w:val="22"/>
        </w:rPr>
        <w:t>rural areas (98.8</w:t>
      </w:r>
      <w:r w:rsidRPr="006B6F55">
        <w:rPr>
          <w:rFonts w:ascii="Arial" w:hAnsi="Arial" w:cs="Arial"/>
          <w:sz w:val="22"/>
          <w:szCs w:val="22"/>
        </w:rPr>
        <w:t>%). This is due to the engagement of the high proportion of rural residents in own-account agricultural work, particularly farming on their own land (Figure 3a).</w:t>
      </w:r>
    </w:p>
    <w:p w:rsidR="005C4DF2" w:rsidRPr="006B6F55" w:rsidRDefault="0010169A" w:rsidP="005C4DF2">
      <w:pPr>
        <w:spacing w:after="0"/>
        <w:jc w:val="both"/>
        <w:rPr>
          <w:rFonts w:ascii="Arial" w:hAnsi="Arial" w:cs="Arial"/>
          <w:sz w:val="22"/>
          <w:szCs w:val="22"/>
        </w:rPr>
      </w:pPr>
      <w:r>
        <w:rPr>
          <w:rFonts w:ascii="Arial" w:hAnsi="Arial" w:cs="Arial"/>
          <w:noProof/>
          <w:sz w:val="22"/>
          <w:szCs w:val="22"/>
          <w:lang w:bidi="dz-BT"/>
        </w:rPr>
        <w:lastRenderedPageBreak/>
        <w:drawing>
          <wp:inline distT="0" distB="0" distL="0" distR="0" wp14:anchorId="5BC87A1B">
            <wp:extent cx="6510020" cy="2037910"/>
            <wp:effectExtent l="0" t="0" r="508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3073" cy="2048257"/>
                    </a:xfrm>
                    <a:prstGeom prst="rect">
                      <a:avLst/>
                    </a:prstGeom>
                    <a:noFill/>
                  </pic:spPr>
                </pic:pic>
              </a:graphicData>
            </a:graphic>
          </wp:inline>
        </w:drawing>
      </w:r>
    </w:p>
    <w:p w:rsidR="005C4DF2" w:rsidRPr="006B6F55" w:rsidRDefault="005C4DF2" w:rsidP="000F0C83">
      <w:pPr>
        <w:tabs>
          <w:tab w:val="left" w:pos="1200"/>
        </w:tabs>
        <w:rPr>
          <w:rFonts w:ascii="Arial" w:hAnsi="Arial" w:cs="Arial"/>
          <w:sz w:val="22"/>
          <w:szCs w:val="22"/>
        </w:rPr>
      </w:pPr>
    </w:p>
    <w:p w:rsidR="00FC6928" w:rsidRPr="006B6F55" w:rsidRDefault="0010169A" w:rsidP="00BF7C65">
      <w:pPr>
        <w:spacing w:after="0"/>
        <w:jc w:val="both"/>
        <w:rPr>
          <w:rFonts w:ascii="Arial" w:hAnsi="Arial" w:cs="Arial"/>
          <w:sz w:val="22"/>
          <w:szCs w:val="22"/>
        </w:rPr>
      </w:pPr>
      <w:r>
        <w:rPr>
          <w:rFonts w:ascii="Arial" w:hAnsi="Arial" w:cs="Arial"/>
          <w:sz w:val="22"/>
          <w:szCs w:val="22"/>
        </w:rPr>
        <w:t>Among the 387,606 employed persons, 43.7</w:t>
      </w:r>
      <w:r w:rsidR="006B6F55">
        <w:rPr>
          <w:rFonts w:ascii="Arial" w:hAnsi="Arial" w:cs="Arial"/>
          <w:sz w:val="22"/>
          <w:szCs w:val="22"/>
        </w:rPr>
        <w:t xml:space="preserve"> percent</w:t>
      </w:r>
      <w:r w:rsidR="00FC6928" w:rsidRPr="006B6F55">
        <w:rPr>
          <w:rFonts w:ascii="Arial" w:hAnsi="Arial" w:cs="Arial"/>
          <w:sz w:val="22"/>
          <w:szCs w:val="22"/>
        </w:rPr>
        <w:t xml:space="preserve"> are engaged</w:t>
      </w:r>
      <w:r w:rsidR="0058739C" w:rsidRPr="006B6F55">
        <w:rPr>
          <w:rFonts w:ascii="Arial" w:hAnsi="Arial" w:cs="Arial"/>
          <w:sz w:val="22"/>
          <w:szCs w:val="22"/>
        </w:rPr>
        <w:t xml:space="preserve"> in the agric</w:t>
      </w:r>
      <w:r>
        <w:rPr>
          <w:rFonts w:ascii="Arial" w:hAnsi="Arial" w:cs="Arial"/>
          <w:sz w:val="22"/>
          <w:szCs w:val="22"/>
        </w:rPr>
        <w:t>ulture sector, 41.7</w:t>
      </w:r>
      <w:r w:rsidR="006B6F55">
        <w:rPr>
          <w:rFonts w:ascii="Arial" w:hAnsi="Arial" w:cs="Arial"/>
          <w:sz w:val="22"/>
          <w:szCs w:val="22"/>
        </w:rPr>
        <w:t xml:space="preserve"> percent</w:t>
      </w:r>
      <w:r w:rsidR="00FC6928" w:rsidRPr="006B6F55">
        <w:rPr>
          <w:rFonts w:ascii="Arial" w:hAnsi="Arial" w:cs="Arial"/>
          <w:sz w:val="22"/>
          <w:szCs w:val="22"/>
        </w:rPr>
        <w:t xml:space="preserve"> </w:t>
      </w:r>
      <w:r>
        <w:rPr>
          <w:rFonts w:ascii="Arial" w:hAnsi="Arial" w:cs="Arial"/>
          <w:sz w:val="22"/>
          <w:szCs w:val="22"/>
        </w:rPr>
        <w:t>in the services sector, and 14.7</w:t>
      </w:r>
      <w:r w:rsidR="006B6F55">
        <w:rPr>
          <w:rFonts w:ascii="Arial" w:hAnsi="Arial" w:cs="Arial"/>
          <w:sz w:val="22"/>
          <w:szCs w:val="22"/>
        </w:rPr>
        <w:t xml:space="preserve"> percent</w:t>
      </w:r>
      <w:r w:rsidR="00FC6928" w:rsidRPr="006B6F55">
        <w:rPr>
          <w:rFonts w:ascii="Arial" w:hAnsi="Arial" w:cs="Arial"/>
          <w:sz w:val="22"/>
          <w:szCs w:val="22"/>
        </w:rPr>
        <w:t xml:space="preserve"> in the industry sector. Among employed males, a higher proportion are </w:t>
      </w:r>
      <w:r w:rsidR="00140EBA" w:rsidRPr="006B6F55">
        <w:rPr>
          <w:rFonts w:ascii="Arial" w:hAnsi="Arial" w:cs="Arial"/>
          <w:sz w:val="22"/>
          <w:szCs w:val="22"/>
        </w:rPr>
        <w:t>engaged in the services sector</w:t>
      </w:r>
      <w:r w:rsidR="00FC6928" w:rsidRPr="006B6F55">
        <w:rPr>
          <w:rFonts w:ascii="Arial" w:hAnsi="Arial" w:cs="Arial"/>
          <w:sz w:val="22"/>
          <w:szCs w:val="22"/>
        </w:rPr>
        <w:t xml:space="preserve">, whereas among employed females, a higher proportion are engaged in the </w:t>
      </w:r>
      <w:r w:rsidR="00BF7C65" w:rsidRPr="006B6F55">
        <w:rPr>
          <w:rFonts w:ascii="Arial" w:hAnsi="Arial" w:cs="Arial"/>
          <w:sz w:val="22"/>
          <w:szCs w:val="22"/>
        </w:rPr>
        <w:t>agriculture sector (Figure 3b).</w:t>
      </w:r>
    </w:p>
    <w:p w:rsidR="00A45EC6" w:rsidRPr="006B6F55" w:rsidRDefault="00A45EC6" w:rsidP="00BF7C65">
      <w:pPr>
        <w:spacing w:after="0"/>
        <w:jc w:val="both"/>
        <w:rPr>
          <w:rFonts w:ascii="Arial" w:hAnsi="Arial" w:cs="Arial"/>
          <w:sz w:val="22"/>
          <w:szCs w:val="22"/>
        </w:rPr>
      </w:pPr>
    </w:p>
    <w:p w:rsidR="00A45EC6" w:rsidRPr="006B6F55" w:rsidRDefault="0010169A" w:rsidP="00AD2511">
      <w:pPr>
        <w:tabs>
          <w:tab w:val="left" w:pos="1200"/>
        </w:tabs>
        <w:jc w:val="both"/>
        <w:rPr>
          <w:rFonts w:ascii="Arial" w:hAnsi="Arial" w:cs="Arial"/>
          <w:sz w:val="22"/>
          <w:szCs w:val="22"/>
        </w:rPr>
      </w:pPr>
      <w:r>
        <w:rPr>
          <w:rFonts w:ascii="Arial" w:hAnsi="Arial" w:cs="Arial"/>
          <w:sz w:val="22"/>
          <w:szCs w:val="22"/>
        </w:rPr>
        <w:t>In Q2</w:t>
      </w:r>
      <w:r w:rsidR="00C33067">
        <w:rPr>
          <w:rFonts w:ascii="Arial" w:hAnsi="Arial" w:cs="Arial"/>
          <w:sz w:val="22"/>
          <w:szCs w:val="22"/>
        </w:rPr>
        <w:t xml:space="preserve"> 2026</w:t>
      </w:r>
      <w:r w:rsidR="00A45EC6" w:rsidRPr="006B6F55">
        <w:rPr>
          <w:rFonts w:ascii="Arial" w:hAnsi="Arial" w:cs="Arial"/>
          <w:sz w:val="22"/>
          <w:szCs w:val="22"/>
        </w:rPr>
        <w:t>, the distribution o</w:t>
      </w:r>
      <w:r>
        <w:rPr>
          <w:rFonts w:ascii="Arial" w:hAnsi="Arial" w:cs="Arial"/>
          <w:sz w:val="22"/>
          <w:szCs w:val="22"/>
        </w:rPr>
        <w:t>f employment shows that about 39.5</w:t>
      </w:r>
      <w:r w:rsidR="00A45EC6" w:rsidRPr="006B6F55">
        <w:rPr>
          <w:rFonts w:ascii="Arial" w:hAnsi="Arial" w:cs="Arial"/>
          <w:sz w:val="22"/>
          <w:szCs w:val="22"/>
        </w:rPr>
        <w:t xml:space="preserve"> percent of the employed population were paid employees, including both regular and casual workers. Own-account workers, engaged in agricultural and non-agricultural activit</w:t>
      </w:r>
      <w:r>
        <w:rPr>
          <w:rFonts w:ascii="Arial" w:hAnsi="Arial" w:cs="Arial"/>
          <w:sz w:val="22"/>
          <w:szCs w:val="22"/>
        </w:rPr>
        <w:t>ies, made up 35.0</w:t>
      </w:r>
      <w:r w:rsidR="00A45EC6" w:rsidRPr="006B6F55">
        <w:rPr>
          <w:rFonts w:ascii="Arial" w:hAnsi="Arial" w:cs="Arial"/>
          <w:sz w:val="22"/>
          <w:szCs w:val="22"/>
        </w:rPr>
        <w:t xml:space="preserve"> percent, while contributing family workers accounted for approximately 25.5 percent of total employment. A notable gender disparity is observed across these employment categories, indicating differences in the nature of work undertaken by men and women (Figure 4a).</w:t>
      </w:r>
    </w:p>
    <w:p w:rsidR="00BF7C65" w:rsidRPr="006B6F55" w:rsidRDefault="0010169A" w:rsidP="00BF7C65">
      <w:pPr>
        <w:tabs>
          <w:tab w:val="left" w:pos="1200"/>
        </w:tabs>
        <w:jc w:val="both"/>
        <w:rPr>
          <w:rFonts w:ascii="Arial" w:hAnsi="Arial" w:cs="Arial"/>
          <w:sz w:val="22"/>
          <w:szCs w:val="22"/>
        </w:rPr>
      </w:pPr>
      <w:r>
        <w:rPr>
          <w:rFonts w:ascii="Arial" w:hAnsi="Arial" w:cs="Arial"/>
          <w:noProof/>
          <w:sz w:val="22"/>
          <w:szCs w:val="22"/>
          <w:lang w:bidi="dz-BT"/>
        </w:rPr>
        <w:drawing>
          <wp:inline distT="0" distB="0" distL="0" distR="0" wp14:anchorId="2E890792">
            <wp:extent cx="5995035" cy="2226237"/>
            <wp:effectExtent l="0" t="0" r="571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7908" cy="2231017"/>
                    </a:xfrm>
                    <a:prstGeom prst="rect">
                      <a:avLst/>
                    </a:prstGeom>
                    <a:noFill/>
                  </pic:spPr>
                </pic:pic>
              </a:graphicData>
            </a:graphic>
          </wp:inline>
        </w:drawing>
      </w:r>
    </w:p>
    <w:p w:rsidR="00A45EC6" w:rsidRPr="006B6F55" w:rsidRDefault="00A45EC6" w:rsidP="00BF7C65">
      <w:pPr>
        <w:tabs>
          <w:tab w:val="left" w:pos="1200"/>
        </w:tabs>
        <w:jc w:val="both"/>
        <w:rPr>
          <w:rFonts w:ascii="Arial" w:hAnsi="Arial" w:cs="Arial"/>
          <w:sz w:val="22"/>
          <w:szCs w:val="22"/>
        </w:rPr>
      </w:pPr>
      <w:r w:rsidRPr="006B6F55">
        <w:rPr>
          <w:rFonts w:ascii="Arial" w:hAnsi="Arial" w:cs="Arial"/>
          <w:sz w:val="22"/>
          <w:szCs w:val="22"/>
        </w:rPr>
        <w:t xml:space="preserve">The average monthly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income fo</w:t>
      </w:r>
      <w:r w:rsidR="0010169A">
        <w:rPr>
          <w:rFonts w:ascii="Arial" w:hAnsi="Arial" w:cs="Arial"/>
          <w:sz w:val="22"/>
          <w:szCs w:val="22"/>
        </w:rPr>
        <w:t>r employed persons is Nu. 28,069</w:t>
      </w:r>
      <w:r w:rsidRPr="006B6F55">
        <w:rPr>
          <w:rFonts w:ascii="Arial" w:hAnsi="Arial" w:cs="Arial"/>
          <w:sz w:val="22"/>
          <w:szCs w:val="22"/>
        </w:rPr>
        <w:t xml:space="preserve">. Male employed persons </w:t>
      </w:r>
      <w:r w:rsidR="0010169A">
        <w:rPr>
          <w:rFonts w:ascii="Arial" w:hAnsi="Arial" w:cs="Arial"/>
          <w:sz w:val="22"/>
          <w:szCs w:val="22"/>
        </w:rPr>
        <w:t>earn a mean income of Nu. 30,064, which is Nu. 5,701</w:t>
      </w:r>
      <w:r w:rsidRPr="006B6F55">
        <w:rPr>
          <w:rFonts w:ascii="Arial" w:hAnsi="Arial" w:cs="Arial"/>
          <w:sz w:val="22"/>
          <w:szCs w:val="22"/>
        </w:rPr>
        <w:t xml:space="preserve"> higher than that of female employed persons. This gap persists across both urban and rural areas, where males consistently report higher average earnings than females (Figure 4b). The</w:t>
      </w:r>
      <w:r w:rsidR="0010169A">
        <w:rPr>
          <w:rFonts w:ascii="Arial" w:hAnsi="Arial" w:cs="Arial"/>
          <w:sz w:val="22"/>
          <w:szCs w:val="22"/>
        </w:rPr>
        <w:t xml:space="preserve"> median monthly income is Nu. 25</w:t>
      </w:r>
      <w:r w:rsidRPr="006B6F55">
        <w:rPr>
          <w:rFonts w:ascii="Arial" w:hAnsi="Arial" w:cs="Arial"/>
          <w:sz w:val="22"/>
          <w:szCs w:val="22"/>
        </w:rPr>
        <w:t>,000, indicating that half of employed persons earn below this level.</w:t>
      </w:r>
    </w:p>
    <w:p w:rsidR="00AD2511" w:rsidRPr="006B6F55" w:rsidRDefault="00AD2511" w:rsidP="00BF7C65">
      <w:pPr>
        <w:tabs>
          <w:tab w:val="left" w:pos="1200"/>
        </w:tabs>
        <w:jc w:val="both"/>
        <w:rPr>
          <w:rFonts w:ascii="Arial" w:hAnsi="Arial" w:cs="Arial"/>
          <w:sz w:val="22"/>
          <w:szCs w:val="22"/>
        </w:rPr>
      </w:pPr>
    </w:p>
    <w:p w:rsidR="00616C0B" w:rsidRDefault="00616C0B" w:rsidP="00616C0B">
      <w:pPr>
        <w:tabs>
          <w:tab w:val="left" w:pos="1200"/>
        </w:tabs>
        <w:rPr>
          <w:rFonts w:ascii="Arial" w:hAnsi="Arial" w:cs="Arial"/>
          <w:sz w:val="22"/>
          <w:szCs w:val="22"/>
        </w:rPr>
      </w:pPr>
      <w:r w:rsidRPr="006B6F55">
        <w:rPr>
          <w:rFonts w:ascii="Arial" w:hAnsi="Arial" w:cs="Arial"/>
          <w:noProof/>
          <w:color w:val="365F91" w:themeColor="accent1" w:themeShade="BF"/>
          <w:sz w:val="22"/>
          <w:szCs w:val="22"/>
          <w:lang w:bidi="dz-BT"/>
        </w:rPr>
        <w:lastRenderedPageBreak/>
        <mc:AlternateContent>
          <mc:Choice Requires="wps">
            <w:drawing>
              <wp:anchor distT="0" distB="0" distL="114300" distR="114300" simplePos="0" relativeHeight="251678720" behindDoc="0" locked="0" layoutInCell="1" allowOverlap="1" wp14:anchorId="4DFFEEDB" wp14:editId="6E7B1CE6">
                <wp:simplePos x="0" y="0"/>
                <wp:positionH relativeFrom="margin">
                  <wp:posOffset>-25400</wp:posOffset>
                </wp:positionH>
                <wp:positionV relativeFrom="paragraph">
                  <wp:posOffset>-535305</wp:posOffset>
                </wp:positionV>
                <wp:extent cx="6343650" cy="5143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6343650" cy="514350"/>
                        </a:xfrm>
                        <a:prstGeom prst="rect">
                          <a:avLst/>
                        </a:prstGeom>
                        <a:solidFill>
                          <a:srgbClr val="0070C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015C" w:rsidRPr="00AD2511" w:rsidRDefault="006E015C" w:rsidP="00AD2511">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D2511">
                              <w:rPr>
                                <w:rFonts w:ascii="Arial" w:hAnsi="Arial" w:cs="Arial"/>
                                <w:b/>
                                <w:bCs/>
                                <w:color w:val="FFFFFF" w:themeColor="background1"/>
                              </w:rPr>
                              <w:t xml:space="preserve">IV. </w:t>
                            </w:r>
                            <w:r w:rsidR="00A8510C" w:rsidRPr="00A8510C">
                              <w:rPr>
                                <w:rFonts w:ascii="Arial" w:hAnsi="Arial" w:cs="Arial"/>
                                <w:b/>
                                <w:bCs/>
                                <w:color w:val="FFFFFF" w:themeColor="background1"/>
                              </w:rPr>
                              <w:t>Overall unemployment rate remains at 2.7%, with youth unemployment continuing to remain substantially higher at about five times the overall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FEEDB" id="Text Box 24" o:spid="_x0000_s1030" type="#_x0000_t202" style="position:absolute;margin-left:-2pt;margin-top:-42.15pt;width:499.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" fillcolor="#0070c0" strokeweight=".5pt">
                <v:textbox>
                  <w:txbxContent>
                    <w:p w:rsidR="006E015C" w:rsidRPr="00AD2511" w:rsidRDefault="006E015C" w:rsidP="00AD2511">
                      <w:pPr>
                        <w:rPr>
                          <w:rFonts w:ascii="Arial" w:hAnsi="Arial" w:cs="Arial"/>
                          <w:b/>
                          <w:bCs/>
                          <w:color w:val="FFFFFF" w:themeColor="background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D2511">
                        <w:rPr>
                          <w:rFonts w:ascii="Arial" w:hAnsi="Arial" w:cs="Arial"/>
                          <w:b/>
                          <w:bCs/>
                          <w:color w:val="FFFFFF" w:themeColor="background1"/>
                        </w:rPr>
                        <w:t xml:space="preserve">IV. </w:t>
                      </w:r>
                      <w:r w:rsidR="00A8510C" w:rsidRPr="00A8510C">
                        <w:rPr>
                          <w:rFonts w:ascii="Arial" w:hAnsi="Arial" w:cs="Arial"/>
                          <w:b/>
                          <w:bCs/>
                          <w:color w:val="FFFFFF" w:themeColor="background1"/>
                        </w:rPr>
                        <w:t>Overall unemployment rate remains at 2.7%, with youth unemployment continuing to remain substantially higher at about five times the overall rate.</w:t>
                      </w:r>
                    </w:p>
                  </w:txbxContent>
                </v:textbox>
                <w10:wrap anchorx="margin"/>
              </v:shape>
            </w:pict>
          </mc:Fallback>
        </mc:AlternateContent>
      </w:r>
    </w:p>
    <w:p w:rsidR="00AC2CFD" w:rsidRPr="006B6F55" w:rsidRDefault="00130348" w:rsidP="00616C0B">
      <w:pPr>
        <w:tabs>
          <w:tab w:val="left" w:pos="1200"/>
        </w:tabs>
        <w:rPr>
          <w:rFonts w:ascii="Arial" w:hAnsi="Arial" w:cs="Arial"/>
          <w:sz w:val="22"/>
          <w:szCs w:val="22"/>
        </w:rPr>
      </w:pPr>
      <w:r>
        <w:rPr>
          <w:rFonts w:ascii="Arial" w:hAnsi="Arial" w:cs="Arial"/>
          <w:sz w:val="22"/>
          <w:szCs w:val="22"/>
        </w:rPr>
        <w:t>In quarter two</w:t>
      </w:r>
      <w:r w:rsidR="00A17D26" w:rsidRPr="006B6F55">
        <w:rPr>
          <w:rFonts w:ascii="Arial" w:hAnsi="Arial" w:cs="Arial"/>
          <w:sz w:val="22"/>
          <w:szCs w:val="22"/>
        </w:rPr>
        <w:t xml:space="preserve"> 2026</w:t>
      </w:r>
      <w:r w:rsidR="00AC2CFD" w:rsidRPr="006B6F55">
        <w:rPr>
          <w:rFonts w:ascii="Arial" w:hAnsi="Arial" w:cs="Arial"/>
          <w:sz w:val="22"/>
          <w:szCs w:val="22"/>
        </w:rPr>
        <w:t>, the national</w:t>
      </w:r>
      <w:r w:rsidR="00A17D26" w:rsidRPr="006B6F55">
        <w:rPr>
          <w:rFonts w:ascii="Arial" w:hAnsi="Arial" w:cs="Arial"/>
          <w:sz w:val="22"/>
          <w:szCs w:val="22"/>
        </w:rPr>
        <w:t xml:space="preserve"> unemployment ra</w:t>
      </w:r>
      <w:r>
        <w:rPr>
          <w:rFonts w:ascii="Arial" w:hAnsi="Arial" w:cs="Arial"/>
          <w:sz w:val="22"/>
          <w:szCs w:val="22"/>
        </w:rPr>
        <w:t>te stands at 2.7</w:t>
      </w:r>
      <w:r w:rsidR="00A17D26" w:rsidRPr="006B6F55">
        <w:rPr>
          <w:rFonts w:ascii="Arial" w:hAnsi="Arial" w:cs="Arial"/>
          <w:sz w:val="22"/>
          <w:szCs w:val="22"/>
        </w:rPr>
        <w:t xml:space="preserve"> percent (95% CI: 2.</w:t>
      </w:r>
      <w:r>
        <w:rPr>
          <w:rFonts w:ascii="Arial" w:hAnsi="Arial" w:cs="Arial"/>
          <w:sz w:val="22"/>
          <w:szCs w:val="22"/>
        </w:rPr>
        <w:t>1, 3.2), slightly lower than 3.4</w:t>
      </w:r>
      <w:r w:rsidR="008453E4" w:rsidRPr="006B6F55">
        <w:rPr>
          <w:rFonts w:ascii="Arial" w:hAnsi="Arial" w:cs="Arial"/>
          <w:sz w:val="22"/>
          <w:szCs w:val="22"/>
        </w:rPr>
        <w:t xml:space="preserve"> percent</w:t>
      </w:r>
      <w:r w:rsidR="00A17D26" w:rsidRPr="006B6F55">
        <w:rPr>
          <w:rFonts w:ascii="Arial" w:hAnsi="Arial" w:cs="Arial"/>
          <w:sz w:val="22"/>
          <w:szCs w:val="22"/>
        </w:rPr>
        <w:t xml:space="preserve"> (95% CI: 2.</w:t>
      </w:r>
      <w:r>
        <w:rPr>
          <w:rFonts w:ascii="Arial" w:hAnsi="Arial" w:cs="Arial"/>
          <w:sz w:val="22"/>
          <w:szCs w:val="22"/>
        </w:rPr>
        <w:t>7</w:t>
      </w:r>
      <w:r w:rsidR="00AC2CFD" w:rsidRPr="006B6F55">
        <w:rPr>
          <w:rFonts w:ascii="Arial" w:hAnsi="Arial" w:cs="Arial"/>
          <w:sz w:val="22"/>
          <w:szCs w:val="22"/>
        </w:rPr>
        <w:t xml:space="preserve">, </w:t>
      </w:r>
      <w:r>
        <w:rPr>
          <w:rFonts w:ascii="Arial" w:hAnsi="Arial" w:cs="Arial"/>
          <w:sz w:val="22"/>
          <w:szCs w:val="22"/>
        </w:rPr>
        <w:t>4.0) in Quarter 1</w:t>
      </w:r>
      <w:r w:rsidR="008453E4" w:rsidRPr="006B6F55">
        <w:rPr>
          <w:rFonts w:ascii="Arial" w:hAnsi="Arial" w:cs="Arial"/>
          <w:sz w:val="22"/>
          <w:szCs w:val="22"/>
        </w:rPr>
        <w:t>, 202</w:t>
      </w:r>
      <w:r>
        <w:rPr>
          <w:rFonts w:ascii="Arial" w:hAnsi="Arial" w:cs="Arial"/>
          <w:sz w:val="22"/>
          <w:szCs w:val="22"/>
        </w:rPr>
        <w:t>6</w:t>
      </w:r>
      <w:r w:rsidR="00AC2CFD" w:rsidRPr="006B6F55">
        <w:rPr>
          <w:rFonts w:ascii="Arial" w:hAnsi="Arial" w:cs="Arial"/>
          <w:sz w:val="22"/>
          <w:szCs w:val="22"/>
        </w:rPr>
        <w:t xml:space="preserve">. The overlapping confidence intervals indicate that the observed difference is not statistically significant. </w:t>
      </w:r>
    </w:p>
    <w:p w:rsidR="00AC2CFD" w:rsidRPr="006B6F55" w:rsidRDefault="00AC2CFD" w:rsidP="00AC2CFD">
      <w:pPr>
        <w:jc w:val="both"/>
        <w:rPr>
          <w:rFonts w:ascii="Arial" w:hAnsi="Arial" w:cs="Arial"/>
          <w:sz w:val="22"/>
          <w:szCs w:val="22"/>
        </w:rPr>
      </w:pPr>
      <w:r w:rsidRPr="006B6F55">
        <w:rPr>
          <w:rFonts w:ascii="Arial" w:hAnsi="Arial" w:cs="Arial"/>
          <w:sz w:val="22"/>
          <w:szCs w:val="22"/>
        </w:rPr>
        <w:t xml:space="preserve">Compared to the same </w:t>
      </w:r>
      <w:r w:rsidR="008453E4" w:rsidRPr="006B6F55">
        <w:rPr>
          <w:rFonts w:ascii="Arial" w:hAnsi="Arial" w:cs="Arial"/>
          <w:sz w:val="22"/>
          <w:szCs w:val="22"/>
        </w:rPr>
        <w:t>quarter in 2025, the rate is 0.2 percentage points lower</w:t>
      </w:r>
      <w:r w:rsidRPr="006B6F55">
        <w:rPr>
          <w:rFonts w:ascii="Arial" w:hAnsi="Arial" w:cs="Arial"/>
          <w:sz w:val="22"/>
          <w:szCs w:val="22"/>
        </w:rPr>
        <w:t>. By s</w:t>
      </w:r>
      <w:r w:rsidR="00130348">
        <w:rPr>
          <w:rFonts w:ascii="Arial" w:hAnsi="Arial" w:cs="Arial"/>
          <w:sz w:val="22"/>
          <w:szCs w:val="22"/>
        </w:rPr>
        <w:t>ex, the unemployment rate is 1.9</w:t>
      </w:r>
      <w:r w:rsidR="006B6F55">
        <w:rPr>
          <w:rFonts w:ascii="Arial" w:hAnsi="Arial" w:cs="Arial"/>
          <w:sz w:val="22"/>
          <w:szCs w:val="22"/>
        </w:rPr>
        <w:t xml:space="preserve"> percent</w:t>
      </w:r>
      <w:r w:rsidRPr="006B6F55">
        <w:rPr>
          <w:rFonts w:ascii="Arial" w:hAnsi="Arial" w:cs="Arial"/>
          <w:sz w:val="22"/>
          <w:szCs w:val="22"/>
        </w:rPr>
        <w:t xml:space="preserve"> for males </w:t>
      </w:r>
      <w:r w:rsidR="00130348">
        <w:rPr>
          <w:rFonts w:ascii="Arial" w:hAnsi="Arial" w:cs="Arial"/>
          <w:sz w:val="22"/>
          <w:szCs w:val="22"/>
        </w:rPr>
        <w:t>and 3.7</w:t>
      </w:r>
      <w:r w:rsidR="006B6F55">
        <w:rPr>
          <w:rFonts w:ascii="Arial" w:hAnsi="Arial" w:cs="Arial"/>
          <w:sz w:val="22"/>
          <w:szCs w:val="22"/>
        </w:rPr>
        <w:t xml:space="preserve"> percent</w:t>
      </w:r>
      <w:r w:rsidRPr="006B6F55">
        <w:rPr>
          <w:rFonts w:ascii="Arial" w:hAnsi="Arial" w:cs="Arial"/>
          <w:sz w:val="22"/>
          <w:szCs w:val="22"/>
        </w:rPr>
        <w:t xml:space="preserve"> for females (Figure 5a). </w:t>
      </w:r>
    </w:p>
    <w:p w:rsidR="00AC2CFD" w:rsidRPr="006B6F55" w:rsidRDefault="00AC2CFD" w:rsidP="00AC2CFD">
      <w:pPr>
        <w:jc w:val="both"/>
        <w:rPr>
          <w:rFonts w:ascii="Arial" w:hAnsi="Arial" w:cs="Arial"/>
          <w:sz w:val="22"/>
          <w:szCs w:val="22"/>
        </w:rPr>
      </w:pPr>
      <w:r w:rsidRPr="006B6F55">
        <w:rPr>
          <w:rFonts w:ascii="Arial" w:hAnsi="Arial" w:cs="Arial"/>
          <w:sz w:val="22"/>
          <w:szCs w:val="22"/>
        </w:rPr>
        <w:t xml:space="preserve">While the overall unemployment rate indicates near full employment, youth unemployment remains a persistent concern. Of the total unemployed persons actively seeking and available for work in Quarter </w:t>
      </w:r>
      <w:r w:rsidR="00130348">
        <w:rPr>
          <w:rFonts w:ascii="Arial" w:hAnsi="Arial" w:cs="Arial"/>
          <w:sz w:val="22"/>
          <w:szCs w:val="22"/>
        </w:rPr>
        <w:t>2</w:t>
      </w:r>
      <w:r w:rsidR="003B28B0">
        <w:rPr>
          <w:rFonts w:ascii="Arial" w:hAnsi="Arial" w:cs="Arial"/>
          <w:sz w:val="22"/>
          <w:szCs w:val="22"/>
        </w:rPr>
        <w:t xml:space="preserve"> of 2026, 39.1</w:t>
      </w:r>
      <w:r w:rsidR="006D3FD9">
        <w:rPr>
          <w:rFonts w:ascii="Arial" w:hAnsi="Arial" w:cs="Arial"/>
          <w:sz w:val="22"/>
          <w:szCs w:val="22"/>
        </w:rPr>
        <w:t xml:space="preserve"> percent were youth aged 15-</w:t>
      </w:r>
      <w:r w:rsidRPr="006B6F55">
        <w:rPr>
          <w:rFonts w:ascii="Arial" w:hAnsi="Arial" w:cs="Arial"/>
          <w:sz w:val="22"/>
          <w:szCs w:val="22"/>
        </w:rPr>
        <w:t xml:space="preserve">24. The youth </w:t>
      </w:r>
      <w:r w:rsidR="008453E4" w:rsidRPr="006B6F55">
        <w:rPr>
          <w:rFonts w:ascii="Arial" w:hAnsi="Arial" w:cs="Arial"/>
          <w:sz w:val="22"/>
          <w:szCs w:val="22"/>
        </w:rPr>
        <w:t>unemployment rate s</w:t>
      </w:r>
      <w:r w:rsidR="003B28B0">
        <w:rPr>
          <w:rFonts w:ascii="Arial" w:hAnsi="Arial" w:cs="Arial"/>
          <w:sz w:val="22"/>
          <w:szCs w:val="22"/>
        </w:rPr>
        <w:t>tands at 13.4</w:t>
      </w:r>
      <w:r w:rsidR="006B6F55">
        <w:rPr>
          <w:rFonts w:ascii="Arial" w:hAnsi="Arial" w:cs="Arial"/>
          <w:sz w:val="22"/>
          <w:szCs w:val="22"/>
        </w:rPr>
        <w:t xml:space="preserve"> percent</w:t>
      </w:r>
      <w:r w:rsidR="003B28B0">
        <w:rPr>
          <w:rFonts w:ascii="Arial" w:hAnsi="Arial" w:cs="Arial"/>
          <w:sz w:val="22"/>
          <w:szCs w:val="22"/>
        </w:rPr>
        <w:t xml:space="preserve"> (95% CI: 8.8, 18.0</w:t>
      </w:r>
      <w:r w:rsidR="008453E4" w:rsidRPr="006B6F55">
        <w:rPr>
          <w:rFonts w:ascii="Arial" w:hAnsi="Arial" w:cs="Arial"/>
          <w:sz w:val="22"/>
          <w:szCs w:val="22"/>
        </w:rPr>
        <w:t xml:space="preserve">), reflecting a </w:t>
      </w:r>
      <w:r w:rsidR="00D1632E">
        <w:rPr>
          <w:rFonts w:ascii="Arial" w:hAnsi="Arial" w:cs="Arial"/>
          <w:sz w:val="22"/>
          <w:szCs w:val="22"/>
        </w:rPr>
        <w:t>3</w:t>
      </w:r>
      <w:r w:rsidR="008453E4" w:rsidRPr="006B6F55">
        <w:rPr>
          <w:rFonts w:ascii="Arial" w:hAnsi="Arial" w:cs="Arial"/>
          <w:sz w:val="22"/>
          <w:szCs w:val="22"/>
        </w:rPr>
        <w:t>.1 percentage point de</w:t>
      </w:r>
      <w:r w:rsidRPr="006B6F55">
        <w:rPr>
          <w:rFonts w:ascii="Arial" w:hAnsi="Arial" w:cs="Arial"/>
          <w:sz w:val="22"/>
          <w:szCs w:val="22"/>
        </w:rPr>
        <w:t xml:space="preserve">crease from the previous quarter. On a year-on-year </w:t>
      </w:r>
      <w:r w:rsidR="00D1632E">
        <w:rPr>
          <w:rFonts w:ascii="Arial" w:hAnsi="Arial" w:cs="Arial"/>
          <w:sz w:val="22"/>
          <w:szCs w:val="22"/>
        </w:rPr>
        <w:t>basis, the rate increased by 3.9</w:t>
      </w:r>
      <w:r w:rsidRPr="006B6F55">
        <w:rPr>
          <w:rFonts w:ascii="Arial" w:hAnsi="Arial" w:cs="Arial"/>
          <w:sz w:val="22"/>
          <w:szCs w:val="22"/>
        </w:rPr>
        <w:t xml:space="preserve"> percentage points compared to the same quarter of the preceding year (Figure 5b).</w:t>
      </w:r>
    </w:p>
    <w:p w:rsidR="00AC2CFD" w:rsidRPr="006B6F55" w:rsidRDefault="00E439D5" w:rsidP="000F0C83">
      <w:pPr>
        <w:tabs>
          <w:tab w:val="left" w:pos="1200"/>
        </w:tabs>
        <w:rPr>
          <w:rFonts w:ascii="Arial" w:hAnsi="Arial" w:cs="Arial"/>
          <w:sz w:val="22"/>
          <w:szCs w:val="22"/>
        </w:rPr>
      </w:pPr>
      <w:r>
        <w:rPr>
          <w:rFonts w:ascii="Arial" w:hAnsi="Arial" w:cs="Arial"/>
          <w:noProof/>
          <w:sz w:val="22"/>
          <w:szCs w:val="22"/>
          <w:lang w:bidi="dz-BT"/>
        </w:rPr>
        <w:drawing>
          <wp:inline distT="0" distB="0" distL="0" distR="0" wp14:anchorId="60BC7181">
            <wp:extent cx="6176985" cy="2171700"/>
            <wp:effectExtent l="0" t="0" r="0" b="0"/>
            <wp:docPr id="645717300" name="Picture 645717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0015" cy="2186829"/>
                    </a:xfrm>
                    <a:prstGeom prst="rect">
                      <a:avLst/>
                    </a:prstGeom>
                    <a:noFill/>
                  </pic:spPr>
                </pic:pic>
              </a:graphicData>
            </a:graphic>
          </wp:inline>
        </w:drawing>
      </w:r>
    </w:p>
    <w:p w:rsidR="008D3A91" w:rsidRPr="006B6F55" w:rsidRDefault="008D3A91" w:rsidP="008D3A91">
      <w:pPr>
        <w:jc w:val="both"/>
        <w:rPr>
          <w:rFonts w:ascii="Arial" w:hAnsi="Arial" w:cs="Arial"/>
          <w:sz w:val="22"/>
          <w:szCs w:val="22"/>
        </w:rPr>
      </w:pPr>
      <w:r w:rsidRPr="006B6F55">
        <w:rPr>
          <w:rFonts w:ascii="Arial" w:hAnsi="Arial" w:cs="Arial"/>
          <w:sz w:val="22"/>
          <w:szCs w:val="22"/>
        </w:rPr>
        <w:t>The unemployment rate is higher among younger age groups. It remains above the overall unemployme</w:t>
      </w:r>
      <w:r w:rsidR="00D1632E">
        <w:rPr>
          <w:rFonts w:ascii="Arial" w:hAnsi="Arial" w:cs="Arial"/>
          <w:sz w:val="22"/>
          <w:szCs w:val="22"/>
        </w:rPr>
        <w:t>nt rate until the 30-34</w:t>
      </w:r>
      <w:r w:rsidRPr="006B6F55">
        <w:rPr>
          <w:rFonts w:ascii="Arial" w:hAnsi="Arial" w:cs="Arial"/>
          <w:sz w:val="22"/>
          <w:szCs w:val="22"/>
        </w:rPr>
        <w:t xml:space="preserve"> years age group, after which the unemployment rate declines s</w:t>
      </w:r>
      <w:r w:rsidR="00DC6880">
        <w:rPr>
          <w:rFonts w:ascii="Arial" w:hAnsi="Arial" w:cs="Arial"/>
          <w:sz w:val="22"/>
          <w:szCs w:val="22"/>
        </w:rPr>
        <w:t>teadily and flattens from age 50</w:t>
      </w:r>
      <w:r w:rsidRPr="006B6F55">
        <w:rPr>
          <w:rFonts w:ascii="Arial" w:hAnsi="Arial" w:cs="Arial"/>
          <w:sz w:val="22"/>
          <w:szCs w:val="22"/>
        </w:rPr>
        <w:t xml:space="preserve"> onwards (Figure 6a).</w:t>
      </w:r>
    </w:p>
    <w:p w:rsidR="008D3A91" w:rsidRPr="006B6F55" w:rsidRDefault="008D3A91" w:rsidP="008D3A91">
      <w:pPr>
        <w:jc w:val="both"/>
        <w:rPr>
          <w:rFonts w:ascii="Arial" w:hAnsi="Arial" w:cs="Arial"/>
          <w:sz w:val="22"/>
          <w:szCs w:val="22"/>
        </w:rPr>
      </w:pPr>
      <w:r w:rsidRPr="006B6F55">
        <w:rPr>
          <w:rFonts w:ascii="Arial" w:hAnsi="Arial" w:cs="Arial"/>
          <w:sz w:val="22"/>
          <w:szCs w:val="22"/>
        </w:rPr>
        <w:t>Similarly, the number of une</w:t>
      </w:r>
      <w:r w:rsidR="006D3FD9">
        <w:rPr>
          <w:rFonts w:ascii="Arial" w:hAnsi="Arial" w:cs="Arial"/>
          <w:sz w:val="22"/>
          <w:szCs w:val="22"/>
        </w:rPr>
        <w:t>mployed persons peaks in the 20-</w:t>
      </w:r>
      <w:r w:rsidRPr="006B6F55">
        <w:rPr>
          <w:rFonts w:ascii="Arial" w:hAnsi="Arial" w:cs="Arial"/>
          <w:sz w:val="22"/>
          <w:szCs w:val="22"/>
        </w:rPr>
        <w:t xml:space="preserve">24 years group before declining thereafter. This decline in unemployment rate with age may reflect typical life-cycle patterns of </w:t>
      </w:r>
      <w:proofErr w:type="spellStart"/>
      <w:r w:rsidRPr="006B6F55">
        <w:rPr>
          <w:rFonts w:ascii="Arial" w:hAnsi="Arial" w:cs="Arial"/>
          <w:sz w:val="22"/>
          <w:szCs w:val="22"/>
        </w:rPr>
        <w:t>labour</w:t>
      </w:r>
      <w:proofErr w:type="spellEnd"/>
      <w:r w:rsidRPr="006B6F55">
        <w:rPr>
          <w:rFonts w:ascii="Arial" w:hAnsi="Arial" w:cs="Arial"/>
          <w:sz w:val="22"/>
          <w:szCs w:val="22"/>
        </w:rPr>
        <w:t xml:space="preserve"> market entry, accumulation of work experience, and increasing job stability.</w:t>
      </w:r>
    </w:p>
    <w:p w:rsidR="008D3A91" w:rsidRPr="006B6F55" w:rsidRDefault="00777711" w:rsidP="000F0C83">
      <w:pPr>
        <w:tabs>
          <w:tab w:val="left" w:pos="1200"/>
        </w:tabs>
        <w:rPr>
          <w:rFonts w:ascii="Arial" w:hAnsi="Arial" w:cs="Arial"/>
          <w:sz w:val="22"/>
          <w:szCs w:val="22"/>
        </w:rPr>
      </w:pPr>
      <w:bookmarkStart w:id="0" w:name="_GoBack"/>
      <w:r>
        <w:rPr>
          <w:rFonts w:ascii="Arial" w:hAnsi="Arial" w:cs="Arial"/>
          <w:noProof/>
          <w:sz w:val="22"/>
          <w:szCs w:val="22"/>
          <w:lang w:bidi="dz-BT"/>
        </w:rPr>
        <w:lastRenderedPageBreak/>
        <w:drawing>
          <wp:inline distT="0" distB="0" distL="0" distR="0" wp14:anchorId="5B9F1B5F">
            <wp:extent cx="6137783" cy="2078990"/>
            <wp:effectExtent l="0" t="0" r="0" b="0"/>
            <wp:docPr id="645717306" name="Picture 645717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1013" cy="2083471"/>
                    </a:xfrm>
                    <a:prstGeom prst="rect">
                      <a:avLst/>
                    </a:prstGeom>
                    <a:noFill/>
                  </pic:spPr>
                </pic:pic>
              </a:graphicData>
            </a:graphic>
          </wp:inline>
        </w:drawing>
      </w:r>
      <w:bookmarkEnd w:id="0"/>
    </w:p>
    <w:p w:rsidR="00DC6880" w:rsidRDefault="00DC6880" w:rsidP="008D3A91">
      <w:pPr>
        <w:jc w:val="both"/>
        <w:rPr>
          <w:rFonts w:ascii="Arial" w:hAnsi="Arial" w:cs="Arial"/>
          <w:sz w:val="22"/>
          <w:szCs w:val="22"/>
        </w:rPr>
      </w:pPr>
      <w:r w:rsidRPr="00DC6880">
        <w:rPr>
          <w:rFonts w:ascii="Arial" w:hAnsi="Arial" w:cs="Arial"/>
          <w:sz w:val="22"/>
          <w:szCs w:val="22"/>
        </w:rPr>
        <w:t xml:space="preserve">Information on reasons for unemployment shows that among several cited causes, the major ones include </w:t>
      </w:r>
      <w:r w:rsidR="00D1632E">
        <w:rPr>
          <w:rFonts w:ascii="Arial" w:hAnsi="Arial" w:cs="Arial"/>
          <w:sz w:val="22"/>
          <w:szCs w:val="22"/>
        </w:rPr>
        <w:t>recently completed studies (32.4</w:t>
      </w:r>
      <w:r w:rsidRPr="00DC6880">
        <w:rPr>
          <w:rFonts w:ascii="Arial" w:hAnsi="Arial" w:cs="Arial"/>
          <w:sz w:val="22"/>
          <w:szCs w:val="22"/>
        </w:rPr>
        <w:t>%),</w:t>
      </w:r>
      <w:r w:rsidR="00D1632E">
        <w:rPr>
          <w:rFonts w:ascii="Arial" w:hAnsi="Arial" w:cs="Arial"/>
          <w:sz w:val="22"/>
          <w:szCs w:val="22"/>
        </w:rPr>
        <w:t xml:space="preserve"> </w:t>
      </w:r>
      <w:r w:rsidR="00D1632E">
        <w:rPr>
          <w:rFonts w:ascii="Arial" w:hAnsi="Arial" w:cs="Arial"/>
          <w:sz w:val="22"/>
          <w:szCs w:val="22"/>
        </w:rPr>
        <w:t>lack of skills (12.4%)</w:t>
      </w:r>
      <w:r w:rsidR="00D1632E">
        <w:rPr>
          <w:rFonts w:ascii="Arial" w:hAnsi="Arial" w:cs="Arial"/>
          <w:sz w:val="22"/>
          <w:szCs w:val="22"/>
        </w:rPr>
        <w:t>,</w:t>
      </w:r>
      <w:r w:rsidRPr="00DC6880">
        <w:rPr>
          <w:rFonts w:ascii="Arial" w:hAnsi="Arial" w:cs="Arial"/>
          <w:sz w:val="22"/>
          <w:szCs w:val="22"/>
        </w:rPr>
        <w:t xml:space="preserve"> </w:t>
      </w:r>
      <w:r w:rsidR="00D1632E">
        <w:rPr>
          <w:rFonts w:ascii="Arial" w:hAnsi="Arial" w:cs="Arial"/>
          <w:sz w:val="22"/>
          <w:szCs w:val="22"/>
        </w:rPr>
        <w:t xml:space="preserve">qualification mismatch (12.3%), </w:t>
      </w:r>
      <w:r w:rsidRPr="00DC6880">
        <w:rPr>
          <w:rFonts w:ascii="Arial" w:hAnsi="Arial" w:cs="Arial"/>
          <w:sz w:val="22"/>
          <w:szCs w:val="22"/>
        </w:rPr>
        <w:t xml:space="preserve">lack of </w:t>
      </w:r>
      <w:r w:rsidR="00D1632E">
        <w:rPr>
          <w:rFonts w:ascii="Arial" w:hAnsi="Arial" w:cs="Arial"/>
          <w:sz w:val="22"/>
          <w:szCs w:val="22"/>
        </w:rPr>
        <w:t>adequate qualification (11.6%)</w:t>
      </w:r>
      <w:r w:rsidR="00436FB0">
        <w:rPr>
          <w:rFonts w:ascii="Arial" w:hAnsi="Arial" w:cs="Arial"/>
          <w:sz w:val="22"/>
          <w:szCs w:val="22"/>
        </w:rPr>
        <w:t xml:space="preserve">, </w:t>
      </w:r>
      <w:proofErr w:type="gramStart"/>
      <w:r w:rsidR="00436FB0">
        <w:rPr>
          <w:rFonts w:ascii="Arial" w:hAnsi="Arial" w:cs="Arial"/>
          <w:sz w:val="22"/>
          <w:szCs w:val="22"/>
        </w:rPr>
        <w:t>lack</w:t>
      </w:r>
      <w:proofErr w:type="gramEnd"/>
      <w:r w:rsidR="00436FB0">
        <w:rPr>
          <w:rFonts w:ascii="Arial" w:hAnsi="Arial" w:cs="Arial"/>
          <w:sz w:val="22"/>
          <w:szCs w:val="22"/>
        </w:rPr>
        <w:t xml:space="preserve"> of experience (9.9%)</w:t>
      </w:r>
      <w:r w:rsidR="00D1632E">
        <w:rPr>
          <w:rFonts w:ascii="Arial" w:hAnsi="Arial" w:cs="Arial"/>
          <w:sz w:val="22"/>
          <w:szCs w:val="22"/>
        </w:rPr>
        <w:t xml:space="preserve"> and voluntarily resigned (9.0%)</w:t>
      </w:r>
      <w:r w:rsidRPr="00DC6880">
        <w:rPr>
          <w:rFonts w:ascii="Arial" w:hAnsi="Arial" w:cs="Arial"/>
          <w:sz w:val="22"/>
          <w:szCs w:val="22"/>
        </w:rPr>
        <w:t xml:space="preserve"> (Figure 7a). Overall, these factors are similarly observed among both male and female unemployed persons, indicating that men and women face comparable challenges in the </w:t>
      </w:r>
      <w:proofErr w:type="spellStart"/>
      <w:r w:rsidRPr="00DC6880">
        <w:rPr>
          <w:rFonts w:ascii="Arial" w:hAnsi="Arial" w:cs="Arial"/>
          <w:sz w:val="22"/>
          <w:szCs w:val="22"/>
        </w:rPr>
        <w:t>labour</w:t>
      </w:r>
      <w:proofErr w:type="spellEnd"/>
      <w:r w:rsidRPr="00DC6880">
        <w:rPr>
          <w:rFonts w:ascii="Arial" w:hAnsi="Arial" w:cs="Arial"/>
          <w:sz w:val="22"/>
          <w:szCs w:val="22"/>
        </w:rPr>
        <w:t xml:space="preserve"> market.</w:t>
      </w:r>
    </w:p>
    <w:p w:rsidR="00DC6880" w:rsidRDefault="00DC6880" w:rsidP="008D3A91">
      <w:pPr>
        <w:jc w:val="both"/>
        <w:rPr>
          <w:rFonts w:ascii="Arial" w:hAnsi="Arial" w:cs="Arial"/>
          <w:sz w:val="22"/>
          <w:szCs w:val="22"/>
        </w:rPr>
      </w:pPr>
      <w:r w:rsidRPr="00DC6880">
        <w:rPr>
          <w:rFonts w:ascii="Arial" w:hAnsi="Arial" w:cs="Arial"/>
          <w:sz w:val="22"/>
          <w:szCs w:val="22"/>
        </w:rPr>
        <w:t>A</w:t>
      </w:r>
      <w:r w:rsidR="00436FB0">
        <w:rPr>
          <w:rFonts w:ascii="Arial" w:hAnsi="Arial" w:cs="Arial"/>
          <w:sz w:val="22"/>
          <w:szCs w:val="22"/>
        </w:rPr>
        <w:t>mong the actively unemployed, 65</w:t>
      </w:r>
      <w:r w:rsidRPr="00DC6880">
        <w:rPr>
          <w:rFonts w:ascii="Arial" w:hAnsi="Arial" w:cs="Arial"/>
          <w:sz w:val="22"/>
          <w:szCs w:val="22"/>
        </w:rPr>
        <w:t>.</w:t>
      </w:r>
      <w:r w:rsidR="00436FB0">
        <w:rPr>
          <w:rFonts w:ascii="Arial" w:hAnsi="Arial" w:cs="Arial"/>
          <w:sz w:val="22"/>
          <w:szCs w:val="22"/>
        </w:rPr>
        <w:t>9</w:t>
      </w:r>
      <w:r w:rsidRPr="00DC6880">
        <w:rPr>
          <w:rFonts w:ascii="Arial" w:hAnsi="Arial" w:cs="Arial"/>
          <w:sz w:val="22"/>
          <w:szCs w:val="22"/>
        </w:rPr>
        <w:t xml:space="preserve"> percent had been without work for less than six </w:t>
      </w:r>
      <w:r w:rsidR="00436FB0">
        <w:rPr>
          <w:rFonts w:ascii="Arial" w:hAnsi="Arial" w:cs="Arial"/>
          <w:sz w:val="22"/>
          <w:szCs w:val="22"/>
        </w:rPr>
        <w:t>months, while the remaining 34.1</w:t>
      </w:r>
      <w:r w:rsidRPr="00DC6880">
        <w:rPr>
          <w:rFonts w:ascii="Arial" w:hAnsi="Arial" w:cs="Arial"/>
          <w:sz w:val="22"/>
          <w:szCs w:val="22"/>
        </w:rPr>
        <w:t xml:space="preserve"> percent had been unemployed for six months or more. With</w:t>
      </w:r>
      <w:r w:rsidR="00436FB0">
        <w:rPr>
          <w:rFonts w:ascii="Arial" w:hAnsi="Arial" w:cs="Arial"/>
          <w:sz w:val="22"/>
          <w:szCs w:val="22"/>
        </w:rPr>
        <w:t>in this latter group, about 15.4</w:t>
      </w:r>
      <w:r w:rsidRPr="00DC6880">
        <w:rPr>
          <w:rFonts w:ascii="Arial" w:hAnsi="Arial" w:cs="Arial"/>
          <w:sz w:val="22"/>
          <w:szCs w:val="22"/>
        </w:rPr>
        <w:t xml:space="preserve"> percent of all unemployed persons had been jobless, actively seeking work, and available for employment for more than one year during the reference period. This group is classified as long-term unemployed (Figure 7b).</w:t>
      </w:r>
    </w:p>
    <w:p w:rsidR="00D1632E" w:rsidRPr="006B6F55" w:rsidRDefault="00D1632E" w:rsidP="008D3A91">
      <w:pPr>
        <w:jc w:val="both"/>
        <w:rPr>
          <w:rFonts w:ascii="Arial" w:hAnsi="Arial" w:cs="Arial"/>
          <w:sz w:val="22"/>
          <w:szCs w:val="22"/>
        </w:rPr>
      </w:pPr>
      <w:r>
        <w:rPr>
          <w:rFonts w:ascii="Arial" w:hAnsi="Arial" w:cs="Arial"/>
          <w:noProof/>
          <w:sz w:val="22"/>
          <w:szCs w:val="22"/>
          <w:lang w:bidi="dz-BT"/>
        </w:rPr>
        <w:drawing>
          <wp:inline distT="0" distB="0" distL="0" distR="0" wp14:anchorId="0E08AB06">
            <wp:extent cx="6183160" cy="2117090"/>
            <wp:effectExtent l="0" t="0" r="8255" b="0"/>
            <wp:docPr id="645717295" name="Picture 645717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4300" cy="2120904"/>
                    </a:xfrm>
                    <a:prstGeom prst="rect">
                      <a:avLst/>
                    </a:prstGeom>
                    <a:noFill/>
                  </pic:spPr>
                </pic:pic>
              </a:graphicData>
            </a:graphic>
          </wp:inline>
        </w:drawing>
      </w:r>
    </w:p>
    <w:p w:rsidR="008D3A91" w:rsidRDefault="008D3A91" w:rsidP="000F0C83">
      <w:pPr>
        <w:tabs>
          <w:tab w:val="left" w:pos="1200"/>
        </w:tabs>
        <w:rPr>
          <w:rFonts w:ascii="Arial" w:hAnsi="Arial" w:cs="Arial"/>
          <w:sz w:val="22"/>
          <w:szCs w:val="22"/>
        </w:rPr>
      </w:pPr>
    </w:p>
    <w:p w:rsidR="0087434A" w:rsidRDefault="0087434A" w:rsidP="000F0C83">
      <w:pPr>
        <w:tabs>
          <w:tab w:val="left" w:pos="1200"/>
        </w:tabs>
        <w:rPr>
          <w:rFonts w:ascii="Arial" w:hAnsi="Arial" w:cs="Arial"/>
          <w:sz w:val="22"/>
          <w:szCs w:val="22"/>
        </w:rPr>
      </w:pPr>
    </w:p>
    <w:p w:rsidR="0087434A" w:rsidRDefault="00712474" w:rsidP="00712474">
      <w:pPr>
        <w:spacing w:after="200" w:line="276" w:lineRule="auto"/>
        <w:rPr>
          <w:rFonts w:ascii="Arial" w:hAnsi="Arial" w:cs="Arial"/>
          <w:sz w:val="22"/>
          <w:szCs w:val="22"/>
        </w:rPr>
      </w:pPr>
      <w:r>
        <w:rPr>
          <w:rFonts w:ascii="Arial" w:hAnsi="Arial" w:cs="Arial"/>
          <w:sz w:val="22"/>
          <w:szCs w:val="22"/>
        </w:rPr>
        <w:br w:type="page"/>
      </w:r>
    </w:p>
    <w:p w:rsidR="0087434A" w:rsidRDefault="0087434A" w:rsidP="0087434A">
      <w:pPr>
        <w:spacing w:after="200" w:line="276" w:lineRule="auto"/>
        <w:rPr>
          <w:rFonts w:ascii="Arial" w:hAnsi="Arial" w:cs="Arial"/>
          <w:sz w:val="22"/>
          <w:szCs w:val="22"/>
        </w:rPr>
      </w:pPr>
    </w:p>
    <w:p w:rsidR="0087434A" w:rsidRDefault="0087434A" w:rsidP="0087434A">
      <w:pPr>
        <w:spacing w:after="0"/>
        <w:ind w:left="2880"/>
      </w:pPr>
      <w:r>
        <w:t>LABOUR FORCE STATISTICS BULLETIN</w:t>
      </w:r>
    </w:p>
    <w:p w:rsidR="0087434A" w:rsidRDefault="0087434A" w:rsidP="0087434A">
      <w:pPr>
        <w:spacing w:after="0"/>
        <w:ind w:left="2880"/>
      </w:pPr>
      <w:r>
        <w:t>Published by National Statistics Bureau</w:t>
      </w:r>
    </w:p>
    <w:p w:rsidR="0087434A" w:rsidRDefault="0087434A" w:rsidP="0087434A">
      <w:pPr>
        <w:spacing w:after="0"/>
        <w:ind w:left="2880"/>
      </w:pPr>
      <w:r>
        <w:t>P.O. Box 338</w:t>
      </w:r>
    </w:p>
    <w:p w:rsidR="0087434A" w:rsidRDefault="0087434A" w:rsidP="0087434A">
      <w:pPr>
        <w:spacing w:after="0"/>
        <w:ind w:left="2880"/>
      </w:pPr>
      <w:proofErr w:type="spellStart"/>
      <w:r>
        <w:t>Tashichhodzong</w:t>
      </w:r>
      <w:proofErr w:type="spellEnd"/>
      <w:r>
        <w:t xml:space="preserve"> premises</w:t>
      </w:r>
    </w:p>
    <w:p w:rsidR="0087434A" w:rsidRDefault="0087434A" w:rsidP="0087434A">
      <w:pPr>
        <w:spacing w:after="0"/>
        <w:ind w:left="2880"/>
      </w:pPr>
      <w:r>
        <w:t>Thimphu, Bhutan</w:t>
      </w:r>
    </w:p>
    <w:p w:rsidR="0087434A" w:rsidRPr="006B6F55" w:rsidRDefault="0087434A" w:rsidP="000F0C83">
      <w:pPr>
        <w:tabs>
          <w:tab w:val="left" w:pos="1200"/>
        </w:tabs>
        <w:rPr>
          <w:rFonts w:ascii="Arial" w:hAnsi="Arial" w:cs="Arial"/>
          <w:sz w:val="22"/>
          <w:szCs w:val="22"/>
        </w:rPr>
      </w:pPr>
    </w:p>
    <w:sectPr w:rsidR="0087434A" w:rsidRPr="006B6F5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1F8" w:rsidRDefault="00CF41F8" w:rsidP="0087434A">
      <w:pPr>
        <w:spacing w:after="0" w:line="240" w:lineRule="auto"/>
      </w:pPr>
      <w:r>
        <w:separator/>
      </w:r>
    </w:p>
  </w:endnote>
  <w:endnote w:type="continuationSeparator" w:id="0">
    <w:p w:rsidR="00CF41F8" w:rsidRDefault="00CF41F8" w:rsidP="00874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44902"/>
      <w:docPartObj>
        <w:docPartGallery w:val="Page Numbers (Bottom of Page)"/>
        <w:docPartUnique/>
      </w:docPartObj>
    </w:sdtPr>
    <w:sdtContent>
      <w:sdt>
        <w:sdtPr>
          <w:id w:val="-1769616900"/>
          <w:docPartObj>
            <w:docPartGallery w:val="Page Numbers (Top of Page)"/>
            <w:docPartUnique/>
          </w:docPartObj>
        </w:sdtPr>
        <w:sdtContent>
          <w:p w:rsidR="006E015C" w:rsidRDefault="006E015C">
            <w:pPr>
              <w:pStyle w:val="Footer"/>
              <w:jc w:val="right"/>
            </w:pPr>
            <w:r w:rsidRPr="0087434A">
              <w:rPr>
                <w:rFonts w:ascii="Arial" w:hAnsi="Arial" w:cs="Arial"/>
                <w:sz w:val="18"/>
                <w:szCs w:val="18"/>
              </w:rPr>
              <w:t xml:space="preserve">Page </w:t>
            </w:r>
            <w:r w:rsidRPr="0087434A">
              <w:rPr>
                <w:rFonts w:ascii="Arial" w:hAnsi="Arial" w:cs="Arial"/>
                <w:b/>
                <w:bCs/>
                <w:sz w:val="18"/>
                <w:szCs w:val="18"/>
              </w:rPr>
              <w:fldChar w:fldCharType="begin"/>
            </w:r>
            <w:r w:rsidRPr="0087434A">
              <w:rPr>
                <w:rFonts w:ascii="Arial" w:hAnsi="Arial" w:cs="Arial"/>
                <w:b/>
                <w:bCs/>
                <w:sz w:val="18"/>
                <w:szCs w:val="18"/>
              </w:rPr>
              <w:instrText xml:space="preserve"> PAGE </w:instrText>
            </w:r>
            <w:r w:rsidRPr="0087434A">
              <w:rPr>
                <w:rFonts w:ascii="Arial" w:hAnsi="Arial" w:cs="Arial"/>
                <w:b/>
                <w:bCs/>
                <w:sz w:val="18"/>
                <w:szCs w:val="18"/>
              </w:rPr>
              <w:fldChar w:fldCharType="separate"/>
            </w:r>
            <w:r w:rsidR="00777711">
              <w:rPr>
                <w:rFonts w:ascii="Arial" w:hAnsi="Arial" w:cs="Arial"/>
                <w:b/>
                <w:bCs/>
                <w:noProof/>
                <w:sz w:val="18"/>
                <w:szCs w:val="18"/>
              </w:rPr>
              <w:t>7</w:t>
            </w:r>
            <w:r w:rsidRPr="0087434A">
              <w:rPr>
                <w:rFonts w:ascii="Arial" w:hAnsi="Arial" w:cs="Arial"/>
                <w:b/>
                <w:bCs/>
                <w:sz w:val="18"/>
                <w:szCs w:val="18"/>
              </w:rPr>
              <w:fldChar w:fldCharType="end"/>
            </w:r>
            <w:r w:rsidRPr="0087434A">
              <w:rPr>
                <w:rFonts w:ascii="Arial" w:hAnsi="Arial" w:cs="Arial"/>
                <w:sz w:val="18"/>
                <w:szCs w:val="18"/>
              </w:rPr>
              <w:t xml:space="preserve"> of </w:t>
            </w:r>
            <w:r w:rsidRPr="0087434A">
              <w:rPr>
                <w:rFonts w:ascii="Arial" w:hAnsi="Arial" w:cs="Arial"/>
                <w:b/>
                <w:bCs/>
                <w:sz w:val="18"/>
                <w:szCs w:val="18"/>
              </w:rPr>
              <w:fldChar w:fldCharType="begin"/>
            </w:r>
            <w:r w:rsidRPr="0087434A">
              <w:rPr>
                <w:rFonts w:ascii="Arial" w:hAnsi="Arial" w:cs="Arial"/>
                <w:b/>
                <w:bCs/>
                <w:sz w:val="18"/>
                <w:szCs w:val="18"/>
              </w:rPr>
              <w:instrText xml:space="preserve"> NUMPAGES  </w:instrText>
            </w:r>
            <w:r w:rsidRPr="0087434A">
              <w:rPr>
                <w:rFonts w:ascii="Arial" w:hAnsi="Arial" w:cs="Arial"/>
                <w:b/>
                <w:bCs/>
                <w:sz w:val="18"/>
                <w:szCs w:val="18"/>
              </w:rPr>
              <w:fldChar w:fldCharType="separate"/>
            </w:r>
            <w:r w:rsidR="00777711">
              <w:rPr>
                <w:rFonts w:ascii="Arial" w:hAnsi="Arial" w:cs="Arial"/>
                <w:b/>
                <w:bCs/>
                <w:noProof/>
                <w:sz w:val="18"/>
                <w:szCs w:val="18"/>
              </w:rPr>
              <w:t>8</w:t>
            </w:r>
            <w:r w:rsidRPr="0087434A">
              <w:rPr>
                <w:rFonts w:ascii="Arial" w:hAnsi="Arial" w:cs="Arial"/>
                <w:b/>
                <w:bCs/>
                <w:sz w:val="18"/>
                <w:szCs w:val="18"/>
              </w:rPr>
              <w:fldChar w:fldCharType="end"/>
            </w:r>
          </w:p>
        </w:sdtContent>
      </w:sdt>
    </w:sdtContent>
  </w:sdt>
  <w:p w:rsidR="006E015C" w:rsidRDefault="006E0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1F8" w:rsidRDefault="00CF41F8" w:rsidP="0087434A">
      <w:pPr>
        <w:spacing w:after="0" w:line="240" w:lineRule="auto"/>
      </w:pPr>
      <w:r>
        <w:separator/>
      </w:r>
    </w:p>
  </w:footnote>
  <w:footnote w:type="continuationSeparator" w:id="0">
    <w:p w:rsidR="00CF41F8" w:rsidRDefault="00CF41F8" w:rsidP="008743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BF"/>
    <w:rsid w:val="000F0C83"/>
    <w:rsid w:val="0010169A"/>
    <w:rsid w:val="00130348"/>
    <w:rsid w:val="00140EBA"/>
    <w:rsid w:val="00143C7B"/>
    <w:rsid w:val="001C4413"/>
    <w:rsid w:val="0020645B"/>
    <w:rsid w:val="00246BC3"/>
    <w:rsid w:val="002C4705"/>
    <w:rsid w:val="002E2159"/>
    <w:rsid w:val="003322F1"/>
    <w:rsid w:val="00386671"/>
    <w:rsid w:val="003B28B0"/>
    <w:rsid w:val="003F73A9"/>
    <w:rsid w:val="00436FB0"/>
    <w:rsid w:val="004A1700"/>
    <w:rsid w:val="004A7E1A"/>
    <w:rsid w:val="004E1180"/>
    <w:rsid w:val="005076C5"/>
    <w:rsid w:val="0058739C"/>
    <w:rsid w:val="005C4DF2"/>
    <w:rsid w:val="00616C0B"/>
    <w:rsid w:val="00626165"/>
    <w:rsid w:val="0064213F"/>
    <w:rsid w:val="00642514"/>
    <w:rsid w:val="006A1AE8"/>
    <w:rsid w:val="006B0AEE"/>
    <w:rsid w:val="006B6F55"/>
    <w:rsid w:val="006D3FD9"/>
    <w:rsid w:val="006E015C"/>
    <w:rsid w:val="006E1138"/>
    <w:rsid w:val="00712474"/>
    <w:rsid w:val="007242BF"/>
    <w:rsid w:val="00766062"/>
    <w:rsid w:val="00766CC2"/>
    <w:rsid w:val="00777711"/>
    <w:rsid w:val="008453E4"/>
    <w:rsid w:val="0087434A"/>
    <w:rsid w:val="00876163"/>
    <w:rsid w:val="008D3A91"/>
    <w:rsid w:val="009827B4"/>
    <w:rsid w:val="009839AD"/>
    <w:rsid w:val="00A17D26"/>
    <w:rsid w:val="00A45EC6"/>
    <w:rsid w:val="00A742ED"/>
    <w:rsid w:val="00A8510C"/>
    <w:rsid w:val="00AA67B6"/>
    <w:rsid w:val="00AC2CFD"/>
    <w:rsid w:val="00AD2511"/>
    <w:rsid w:val="00B706EE"/>
    <w:rsid w:val="00BB2905"/>
    <w:rsid w:val="00BF6205"/>
    <w:rsid w:val="00BF7C65"/>
    <w:rsid w:val="00C17593"/>
    <w:rsid w:val="00C33067"/>
    <w:rsid w:val="00CD457C"/>
    <w:rsid w:val="00CF41F8"/>
    <w:rsid w:val="00D1632E"/>
    <w:rsid w:val="00D24F10"/>
    <w:rsid w:val="00D509D1"/>
    <w:rsid w:val="00DC6880"/>
    <w:rsid w:val="00DD631D"/>
    <w:rsid w:val="00E439D5"/>
    <w:rsid w:val="00E4774E"/>
    <w:rsid w:val="00E57F5E"/>
    <w:rsid w:val="00EE2EB7"/>
    <w:rsid w:val="00F14B1A"/>
    <w:rsid w:val="00F30E78"/>
    <w:rsid w:val="00FC6928"/>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147DB-0449-4FF0-B6EA-73F7F547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32"/>
        <w:lang w:val="en-US" w:eastAsia="en-US" w:bidi="dz-BT"/>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2BF"/>
    <w:pPr>
      <w:spacing w:after="160" w:line="278" w:lineRule="auto"/>
    </w:pPr>
    <w:rPr>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34A"/>
    <w:rPr>
      <w:kern w:val="2"/>
      <w:sz w:val="24"/>
      <w:szCs w:val="24"/>
      <w:lang w:bidi="ar-SA"/>
      <w14:ligatures w14:val="standardContextual"/>
    </w:rPr>
  </w:style>
  <w:style w:type="paragraph" w:styleId="Footer">
    <w:name w:val="footer"/>
    <w:basedOn w:val="Normal"/>
    <w:link w:val="FooterChar"/>
    <w:uiPriority w:val="99"/>
    <w:unhideWhenUsed/>
    <w:rsid w:val="00874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34A"/>
    <w:rPr>
      <w:kern w:val="2"/>
      <w:sz w:val="24"/>
      <w:szCs w:val="24"/>
      <w:lang w:bidi="ar-SA"/>
      <w14:ligatures w14:val="standardContextual"/>
    </w:rPr>
  </w:style>
  <w:style w:type="character" w:styleId="PlaceholderText">
    <w:name w:val="Placeholder Text"/>
    <w:basedOn w:val="DefaultParagraphFont"/>
    <w:uiPriority w:val="99"/>
    <w:semiHidden/>
    <w:rsid w:val="0087434A"/>
    <w:rPr>
      <w:color w:val="808080"/>
    </w:rPr>
  </w:style>
  <w:style w:type="paragraph" w:styleId="NormalWeb">
    <w:name w:val="Normal (Web)"/>
    <w:basedOn w:val="Normal"/>
    <w:uiPriority w:val="99"/>
    <w:unhideWhenUsed/>
    <w:rsid w:val="0020645B"/>
    <w:pPr>
      <w:spacing w:before="100" w:beforeAutospacing="1" w:after="100" w:afterAutospacing="1" w:line="240" w:lineRule="auto"/>
    </w:pPr>
    <w:rPr>
      <w:rFonts w:ascii="Times New Roman" w:eastAsia="Times New Roman" w:hAnsi="Times New Roman" w:cs="Times New Roman"/>
      <w:kern w:val="0"/>
      <w:lang w:bidi="dz-B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07705">
      <w:bodyDiv w:val="1"/>
      <w:marLeft w:val="0"/>
      <w:marRight w:val="0"/>
      <w:marTop w:val="0"/>
      <w:marBottom w:val="0"/>
      <w:divBdr>
        <w:top w:val="none" w:sz="0" w:space="0" w:color="auto"/>
        <w:left w:val="none" w:sz="0" w:space="0" w:color="auto"/>
        <w:bottom w:val="none" w:sz="0" w:space="0" w:color="auto"/>
        <w:right w:val="none" w:sz="0" w:space="0" w:color="auto"/>
      </w:divBdr>
    </w:div>
    <w:div w:id="291447258">
      <w:bodyDiv w:val="1"/>
      <w:marLeft w:val="0"/>
      <w:marRight w:val="0"/>
      <w:marTop w:val="0"/>
      <w:marBottom w:val="0"/>
      <w:divBdr>
        <w:top w:val="none" w:sz="0" w:space="0" w:color="auto"/>
        <w:left w:val="none" w:sz="0" w:space="0" w:color="auto"/>
        <w:bottom w:val="none" w:sz="0" w:space="0" w:color="auto"/>
        <w:right w:val="none" w:sz="0" w:space="0" w:color="auto"/>
      </w:divBdr>
    </w:div>
    <w:div w:id="1572041609">
      <w:bodyDiv w:val="1"/>
      <w:marLeft w:val="0"/>
      <w:marRight w:val="0"/>
      <w:marTop w:val="0"/>
      <w:marBottom w:val="0"/>
      <w:divBdr>
        <w:top w:val="none" w:sz="0" w:space="0" w:color="auto"/>
        <w:left w:val="none" w:sz="0" w:space="0" w:color="auto"/>
        <w:bottom w:val="none" w:sz="0" w:space="0" w:color="auto"/>
        <w:right w:val="none" w:sz="0" w:space="0" w:color="auto"/>
      </w:divBdr>
    </w:div>
    <w:div w:id="1682467458">
      <w:bodyDiv w:val="1"/>
      <w:marLeft w:val="0"/>
      <w:marRight w:val="0"/>
      <w:marTop w:val="0"/>
      <w:marBottom w:val="0"/>
      <w:divBdr>
        <w:top w:val="none" w:sz="0" w:space="0" w:color="auto"/>
        <w:left w:val="none" w:sz="0" w:space="0" w:color="auto"/>
        <w:bottom w:val="none" w:sz="0" w:space="0" w:color="auto"/>
        <w:right w:val="none" w:sz="0" w:space="0" w:color="auto"/>
      </w:divBdr>
    </w:div>
    <w:div w:id="1788163816">
      <w:bodyDiv w:val="1"/>
      <w:marLeft w:val="0"/>
      <w:marRight w:val="0"/>
      <w:marTop w:val="0"/>
      <w:marBottom w:val="0"/>
      <w:divBdr>
        <w:top w:val="none" w:sz="0" w:space="0" w:color="auto"/>
        <w:left w:val="none" w:sz="0" w:space="0" w:color="auto"/>
        <w:bottom w:val="none" w:sz="0" w:space="0" w:color="auto"/>
        <w:right w:val="none" w:sz="0" w:space="0" w:color="auto"/>
      </w:divBdr>
    </w:div>
    <w:div w:id="1797216819">
      <w:bodyDiv w:val="1"/>
      <w:marLeft w:val="0"/>
      <w:marRight w:val="0"/>
      <w:marTop w:val="0"/>
      <w:marBottom w:val="0"/>
      <w:divBdr>
        <w:top w:val="none" w:sz="0" w:space="0" w:color="auto"/>
        <w:left w:val="none" w:sz="0" w:space="0" w:color="auto"/>
        <w:bottom w:val="none" w:sz="0" w:space="0" w:color="auto"/>
        <w:right w:val="none" w:sz="0" w:space="0" w:color="auto"/>
      </w:divBdr>
    </w:div>
    <w:div w:id="1865702835">
      <w:bodyDiv w:val="1"/>
      <w:marLeft w:val="0"/>
      <w:marRight w:val="0"/>
      <w:marTop w:val="0"/>
      <w:marBottom w:val="0"/>
      <w:divBdr>
        <w:top w:val="none" w:sz="0" w:space="0" w:color="auto"/>
        <w:left w:val="none" w:sz="0" w:space="0" w:color="auto"/>
        <w:bottom w:val="none" w:sz="0" w:space="0" w:color="auto"/>
        <w:right w:val="none" w:sz="0" w:space="0" w:color="auto"/>
      </w:divBdr>
      <w:divsChild>
        <w:div w:id="1127506914">
          <w:marLeft w:val="0"/>
          <w:marRight w:val="0"/>
          <w:marTop w:val="0"/>
          <w:marBottom w:val="0"/>
          <w:divBdr>
            <w:top w:val="none" w:sz="0" w:space="0" w:color="auto"/>
            <w:left w:val="none" w:sz="0" w:space="0" w:color="auto"/>
            <w:bottom w:val="none" w:sz="0" w:space="0" w:color="auto"/>
            <w:right w:val="none" w:sz="0" w:space="0" w:color="auto"/>
          </w:divBdr>
          <w:divsChild>
            <w:div w:id="1711877118">
              <w:marLeft w:val="0"/>
              <w:marRight w:val="0"/>
              <w:marTop w:val="0"/>
              <w:marBottom w:val="0"/>
              <w:divBdr>
                <w:top w:val="none" w:sz="0" w:space="0" w:color="auto"/>
                <w:left w:val="none" w:sz="0" w:space="0" w:color="auto"/>
                <w:bottom w:val="none" w:sz="0" w:space="0" w:color="auto"/>
                <w:right w:val="none" w:sz="0" w:space="0" w:color="auto"/>
              </w:divBdr>
              <w:divsChild>
                <w:div w:id="29184285">
                  <w:marLeft w:val="0"/>
                  <w:marRight w:val="0"/>
                  <w:marTop w:val="0"/>
                  <w:marBottom w:val="0"/>
                  <w:divBdr>
                    <w:top w:val="none" w:sz="0" w:space="0" w:color="auto"/>
                    <w:left w:val="none" w:sz="0" w:space="0" w:color="auto"/>
                    <w:bottom w:val="none" w:sz="0" w:space="0" w:color="auto"/>
                    <w:right w:val="none" w:sz="0" w:space="0" w:color="auto"/>
                  </w:divBdr>
                  <w:divsChild>
                    <w:div w:id="295258254">
                      <w:marLeft w:val="0"/>
                      <w:marRight w:val="0"/>
                      <w:marTop w:val="0"/>
                      <w:marBottom w:val="0"/>
                      <w:divBdr>
                        <w:top w:val="none" w:sz="0" w:space="0" w:color="auto"/>
                        <w:left w:val="none" w:sz="0" w:space="0" w:color="auto"/>
                        <w:bottom w:val="none" w:sz="0" w:space="0" w:color="auto"/>
                        <w:right w:val="none" w:sz="0" w:space="0" w:color="auto"/>
                      </w:divBdr>
                      <w:divsChild>
                        <w:div w:id="758602535">
                          <w:marLeft w:val="0"/>
                          <w:marRight w:val="0"/>
                          <w:marTop w:val="0"/>
                          <w:marBottom w:val="0"/>
                          <w:divBdr>
                            <w:top w:val="none" w:sz="0" w:space="0" w:color="auto"/>
                            <w:left w:val="none" w:sz="0" w:space="0" w:color="auto"/>
                            <w:bottom w:val="none" w:sz="0" w:space="0" w:color="auto"/>
                            <w:right w:val="none" w:sz="0" w:space="0" w:color="auto"/>
                          </w:divBdr>
                          <w:divsChild>
                            <w:div w:id="9234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79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C29A3-6F2E-4017-9DC4-78AC85B3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8</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c:creator>
  <cp:keywords/>
  <dc:description/>
  <cp:lastModifiedBy>users</cp:lastModifiedBy>
  <cp:revision>18</cp:revision>
  <dcterms:created xsi:type="dcterms:W3CDTF">2026-04-10T11:07:00Z</dcterms:created>
  <dcterms:modified xsi:type="dcterms:W3CDTF">2026-07-07T18:14:00Z</dcterms:modified>
</cp:coreProperties>
</file>